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2"/>
        </w:rPr>
        <w:t>WASTE MANAGEMENT, INC. (WM)</w:t>
      </w:r>
    </w:p>
    <w:p>
      <w:pPr>
        <w:jc w:val="center"/>
      </w:pPr>
      <w:r>
        <w:rPr>
          <w:color w:val="2E5395"/>
          <w:sz w:val="28"/>
        </w:rPr>
        <w:t>Long-Term Conviction Report — Deep-Dive Mode</w:t>
      </w:r>
    </w:p>
    <w:p>
      <w:pPr>
        <w:jc w:val="center"/>
      </w:pPr>
      <w:r>
        <w:rPr>
          <w:i/>
          <w:color w:val="595959"/>
          <w:sz w:val="20"/>
        </w:rPr>
        <w:t>Track: A-ID (Industrials)  |  Price at production: $217.67  |  Date: 2026-09-08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B8860B"/>
          </w:tcPr>
          <w:p>
            <w:r/>
            <w:r>
              <w:rPr>
                <w:b/>
                <w:color w:val="FFFFFF"/>
                <w:sz w:val="20"/>
              </w:rPr>
              <w:t>VERDICT</w:t>
            </w:r>
          </w:p>
        </w:tc>
      </w:tr>
      <w:tr>
        <w:tc>
          <w:tcPr>
            <w:tcW w:type="dxa" w:w="8640"/>
            <w:shd w:fill="FCF0D9"/>
          </w:tcPr>
          <w:p>
            <w:r/>
            <w:r>
              <w:rPr>
                <w:b/>
                <w:sz w:val="22"/>
              </w:rPr>
              <w:t>F-Rating: OVERVALUED (vs internal DCF)   |   MoS Gate: NONE   |   Compounder: QUALITY (capped to WATCH)   |   AI Impact: NEUTRAL</w:t>
            </w:r>
          </w:p>
          <w:p>
            <w:r>
              <w:rPr>
                <w:sz w:val="20"/>
              </w:rPr>
              <w:t>DCF Bear / Base / Bull: $83.44 / $158.44 / $295.01 per share  —  current price $217.67 clears only the Bull case</w:t>
            </w:r>
          </w:p>
        </w:tc>
      </w:tr>
    </w:tbl>
    <w:p/>
    <w:p>
      <w:r>
        <w:rPr>
          <w:b w:val="0"/>
          <w:i/>
          <w:color w:val="808080"/>
          <w:sz w:val="18"/>
        </w:rPr>
        <w:t>This is a personal long-term conviction analysis, produced by the long-term-analyst.md agent (Deep-Dive Mode). It is not a subscriber publication and carries no MAR/regulatory disclosure apparatus — that track is separate (publishing/). Every figure below is sourced and dated; DCF outputs are illustrative scenario modelling, not a precise forecast.</w:t>
      </w:r>
    </w:p>
    <w:p>
      <w:r>
        <w:br w:type="page"/>
      </w:r>
    </w:p>
    <w:p>
      <w:pPr>
        <w:pStyle w:val="Heading1"/>
      </w:pPr>
      <w:r>
        <w:rPr>
          <w:color w:val="1F3864"/>
        </w:rPr>
        <w:t>Contents</w:t>
      </w:r>
    </w:p>
    <w:p>
      <w:pPr>
        <w:pStyle w:val="ListBullet"/>
      </w:pPr>
      <w:r>
        <w:rPr>
          <w:sz w:val="20"/>
        </w:rPr>
        <w:t>0. Recent Context — Last Earnings &amp; News</w:t>
      </w:r>
    </w:p>
    <w:p>
      <w:pPr>
        <w:pStyle w:val="ListBullet"/>
      </w:pPr>
      <w:r>
        <w:rPr>
          <w:sz w:val="20"/>
        </w:rPr>
        <w:t>1. Routing</w:t>
      </w:r>
    </w:p>
    <w:p>
      <w:pPr>
        <w:pStyle w:val="ListBullet"/>
      </w:pPr>
      <w:r>
        <w:rPr>
          <w:sz w:val="20"/>
        </w:rPr>
        <w:t>2. Categorization (Lynch)</w:t>
      </w:r>
    </w:p>
    <w:p>
      <w:pPr>
        <w:pStyle w:val="ListBullet"/>
      </w:pPr>
      <w:r>
        <w:rPr>
          <w:sz w:val="20"/>
        </w:rPr>
        <w:t>3. Earnings Quality (Penman)</w:t>
      </w:r>
    </w:p>
    <w:p>
      <w:pPr>
        <w:pStyle w:val="ListBullet"/>
      </w:pPr>
      <w:r>
        <w:rPr>
          <w:sz w:val="20"/>
        </w:rPr>
        <w:t>4. Valuation — DCF (Koller)</w:t>
      </w:r>
    </w:p>
    <w:p>
      <w:pPr>
        <w:pStyle w:val="ListBullet"/>
      </w:pPr>
      <w:r>
        <w:rPr>
          <w:sz w:val="20"/>
        </w:rPr>
        <w:t>5. Mauboussin — Price-Implied Expectations</w:t>
      </w:r>
    </w:p>
    <w:p>
      <w:pPr>
        <w:pStyle w:val="ListBullet"/>
      </w:pPr>
      <w:r>
        <w:rPr>
          <w:sz w:val="20"/>
        </w:rPr>
        <w:t>6. Fisher — Qualitative Checklist</w:t>
      </w:r>
    </w:p>
    <w:p>
      <w:pPr>
        <w:pStyle w:val="ListBullet"/>
      </w:pPr>
      <w:r>
        <w:rPr>
          <w:sz w:val="20"/>
        </w:rPr>
        <w:t>7. Ilmanen — Factor Read</w:t>
      </w:r>
    </w:p>
    <w:p>
      <w:pPr>
        <w:pStyle w:val="ListBullet"/>
      </w:pPr>
      <w:r>
        <w:rPr>
          <w:sz w:val="20"/>
        </w:rPr>
        <w:t>8. Quality Compounder Screen</w:t>
      </w:r>
    </w:p>
    <w:p>
      <w:pPr>
        <w:pStyle w:val="ListBullet"/>
      </w:pPr>
      <w:r>
        <w:rPr>
          <w:sz w:val="20"/>
        </w:rPr>
        <w:t>9. Sector Appendix — Industrials</w:t>
      </w:r>
    </w:p>
    <w:p>
      <w:pPr>
        <w:pStyle w:val="ListBullet"/>
      </w:pPr>
      <w:r>
        <w:rPr>
          <w:sz w:val="20"/>
        </w:rPr>
        <w:t>10. Five-Year Ratio Trend Analysis</w:t>
      </w:r>
    </w:p>
    <w:p>
      <w:pPr>
        <w:pStyle w:val="ListBullet"/>
      </w:pPr>
      <w:r>
        <w:rPr>
          <w:sz w:val="20"/>
        </w:rPr>
        <w:t>11. Final Verdict</w:t>
      </w:r>
    </w:p>
    <w:p>
      <w:r>
        <w:br w:type="page"/>
      </w:r>
    </w:p>
    <w:p>
      <w:pPr>
        <w:pStyle w:val="Heading1"/>
      </w:pPr>
      <w:r>
        <w:rPr>
          <w:color w:val="1F3864"/>
        </w:rPr>
        <w:t>0. Recent Context — Last Earnings &amp; News</w:t>
      </w:r>
    </w:p>
    <w:p>
      <w:pPr>
        <w:pStyle w:val="Heading2"/>
      </w:pPr>
      <w:r>
        <w:rPr>
          <w:color w:val="2E5395"/>
        </w:rPr>
        <w:t>Last Reported Quarter (Q2 2026, reported 2026-07-27)</w:t>
      </w:r>
    </w:p>
    <w:p>
      <w:pPr>
        <w:pStyle w:val="ListBullet"/>
      </w:pPr>
      <w:r>
        <w:rPr>
          <w:sz w:val="20"/>
        </w:rPr>
        <w:t>Revenue $6.68B, +4.0% YoY, driven by pricing/yield power in Collection &amp; Disposal plus energy surcharges.</w:t>
      </w:r>
    </w:p>
    <w:p>
      <w:pPr>
        <w:pStyle w:val="ListBullet"/>
      </w:pPr>
      <w:r>
        <w:rPr>
          <w:sz w:val="20"/>
        </w:rPr>
        <w:t>Adjusted EBITDA $2.07B, +5.5%, margin +40bp to 30.9%.</w:t>
      </w:r>
    </w:p>
    <w:p>
      <w:pPr>
        <w:pStyle w:val="ListBullet"/>
      </w:pPr>
      <w:r>
        <w:rPr>
          <w:sz w:val="20"/>
        </w:rPr>
        <w:t>Free cash flow $1.10B, +35% YoY.</w:t>
      </w:r>
    </w:p>
    <w:p>
      <w:pPr>
        <w:pStyle w:val="ListBullet"/>
      </w:pPr>
      <w:r>
        <w:rPr>
          <w:sz w:val="20"/>
        </w:rPr>
        <w:t>FY2026 guidance: revenue $26.425-26.625B, EBITDA margin 31.0-31.2% (raised +20bp).</w:t>
      </w:r>
    </w:p>
    <w:p>
      <w:pPr>
        <w:pStyle w:val="ListBullet"/>
      </w:pPr>
      <w:r>
        <w:rPr>
          <w:sz w:val="20"/>
        </w:rPr>
        <w:t>Healthcare Solutions (ex-Stericycle) segment: EBITDA margin +200bp to 19%, integration now described as complete; $32M of cross-sell synergies realized to date, on track for $300M by end of 2027.</w:t>
      </w:r>
    </w:p>
    <w:p>
      <w:pPr>
        <w:pStyle w:val="Heading2"/>
      </w:pPr>
      <w:r>
        <w:rPr>
          <w:color w:val="2E5395"/>
        </w:rPr>
        <w:t>Recent News</w:t>
      </w:r>
    </w:p>
    <w:p>
      <w:pPr>
        <w:pStyle w:val="ListBullet"/>
      </w:pPr>
      <w:r>
        <w:rPr>
          <w:sz w:val="20"/>
        </w:rPr>
        <w:t>Stericycle acquisition (closed Nov 2024): $7.2B cash, $62/share; post-deal leverage ~3.6x, targeting 2.75-3.0x within ~24 months of close.</w:t>
      </w:r>
    </w:p>
    <w:p>
      <w:pPr>
        <w:pStyle w:val="ListBullet"/>
      </w:pPr>
      <w:r>
        <w:rPr>
          <w:sz w:val="20"/>
        </w:rPr>
        <w:t>Analyst consensus: 28 analysts, Buy rating, average target $256.24 (range $210-$285); UBS raised target to $270 on Aug 4, 2026.</w:t>
      </w:r>
    </w:p>
    <w:p/>
    <w:p>
      <w:r>
        <w:rPr>
          <w:b w:val="0"/>
          <w:i/>
          <w:color w:val="808080"/>
          <w:sz w:val="17"/>
        </w:rPr>
        <w:t>Sources: BusinessWire, WasteDive, Finsee, BigGo Finance (Jul-Aug 2026); CNBC/BusinessWire (Stericycle deal announcement, June 2024).</w:t>
      </w:r>
    </w:p>
    <w:p>
      <w:r>
        <w:br w:type="page"/>
      </w:r>
    </w:p>
    <w:p>
      <w:pPr>
        <w:pStyle w:val="Heading1"/>
      </w:pPr>
      <w:r>
        <w:rPr>
          <w:color w:val="1F3864"/>
        </w:rPr>
        <w:t>1. Routing</w:t>
      </w:r>
    </w:p>
    <w:p>
      <w:r>
        <w:rPr>
          <w:b w:val="0"/>
          <w:i w:val="0"/>
          <w:sz w:val="20"/>
        </w:rPr>
        <w:t>Track A-ID (Industrials). No dedicated "waste/environmental services" entry exists in the Sector Appendix — Industrials is the closest fit; metrics that don't apply (e.g. book-to-bill, a capital-equipment concept) are excluded rather than forced.</w:t>
      </w:r>
    </w:p>
    <w:p>
      <w:pPr>
        <w:pStyle w:val="Heading1"/>
      </w:pPr>
      <w:r>
        <w:rPr>
          <w:color w:val="1F3864"/>
        </w:rPr>
        <w:t>2. Categorization (Lynch)</w:t>
      </w:r>
    </w:p>
    <w:p>
      <w:r>
        <w:rPr>
          <w:b w:val="0"/>
          <w:i w:val="0"/>
          <w:sz w:val="20"/>
        </w:rPr>
        <w:t>Stalwart — large, mature company with historical EPS growth in the 10-14%/yr range. Not a Fast Grower, not classically cyclical: waste collection demand is structurally non-discretionary.</w:t>
      </w:r>
    </w:p>
    <w:p>
      <w:pPr>
        <w:pStyle w:val="Heading1"/>
      </w:pPr>
      <w:r>
        <w:rPr>
          <w:color w:val="1F3864"/>
        </w:rPr>
        <w:t>3. Earnings Quality (Penman)</w:t>
      </w:r>
    </w:p>
    <w:p>
      <w:pPr>
        <w:pStyle w:val="ListBullet"/>
      </w:pPr>
      <w:r>
        <w:rPr>
          <w:sz w:val="20"/>
        </w:rPr>
        <w:t>ROE 27-33% vs ROIC only 10-13% — a large gap that is almost entirely a leverage effect (D/E 2.2-2.9x), not operating improvement. The framework explicitly warns never to attribute an ROE rise to leverage alone.</w:t>
      </w:r>
    </w:p>
    <w:p>
      <w:pPr>
        <w:pStyle w:val="ListBullet"/>
      </w:pPr>
      <w:r>
        <w:rPr>
          <w:sz w:val="20"/>
        </w:rPr>
        <w:t>ROIC declined structurally around the Stericycle deal: 12.8% (FY2023) -&gt; 9.9% (FY2024, the year the deal closed) -&gt; 10.7% (FY2025, partial recovery, still below pre-deal levels).</w:t>
      </w:r>
    </w:p>
    <w:p>
      <w:pPr>
        <w:pStyle w:val="ListBullet"/>
      </w:pPr>
      <w:r>
        <w:rPr>
          <w:sz w:val="20"/>
        </w:rPr>
        <w:t>Net margin compressed in FY2025 (10.7% vs 12.4% FY2024) despite stable EBITDA margin — consistent with higher interest expense on the larger, deal-related debt load.</w:t>
      </w:r>
    </w:p>
    <w:p>
      <w:pPr>
        <w:pStyle w:val="ListBullet"/>
      </w:pPr>
      <w:r>
        <w:rPr>
          <w:sz w:val="20"/>
        </w:rPr>
        <w:t>FCF conversion excellent: FCF/NI FY2025 = 104% — earnings are well backed by real cash, no accrual-inflation signal.</w:t>
      </w:r>
    </w:p>
    <w:p>
      <w:r>
        <w:br w:type="page"/>
      </w:r>
    </w:p>
    <w:p>
      <w:pPr>
        <w:pStyle w:val="Heading1"/>
      </w:pPr>
      <w:r>
        <w:rPr>
          <w:color w:val="1F3864"/>
        </w:rPr>
        <w:t>4. Valuation — DCF (Koller)</w:t>
      </w:r>
    </w:p>
    <w:p>
      <w:pPr>
        <w:pStyle w:val="Heading2"/>
      </w:pPr>
      <w:r>
        <w:rPr>
          <w:color w:val="2E5395"/>
        </w:rPr>
        <w:t>WACC Construction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Input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Risk-free rate (10Y UST, 2026-09-08)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4.784%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Equity risk premium (US)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4.5%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Beta (current — genuinely low, defensive profile)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0.431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Cost of equity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6.72%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D/V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21.2%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WACC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6.14%</w:t>
            </w:r>
          </w:p>
        </w:tc>
      </w:tr>
    </w:tbl>
    <w:p/>
    <w:p>
      <w:r>
        <w:rPr>
          <w:b w:val="0"/>
          <w:i/>
          <w:sz w:val="18"/>
        </w:rPr>
        <w:t>Beta 0.43 is a real reflection of the business (local waste collection, multi-year municipal contracts, inelastic demand), not a poor input. Cross-check with a normalized beta of 0.65 raises WACC only to 6.91% — the conclusion is not sensitive to this. Per Framework 4's own rule, any WACC under 7% is flagged explicitly here for transparency.</w:t>
      </w:r>
    </w:p>
    <w:p/>
    <w:p>
      <w:pPr>
        <w:pStyle w:val="Heading2"/>
      </w:pPr>
      <w:r>
        <w:rPr>
          <w:color w:val="2E5395"/>
        </w:rPr>
        <w:t>ROIC vs WACC</w:t>
      </w:r>
    </w:p>
    <w:p>
      <w:r>
        <w:rPr>
          <w:b/>
          <w:i w:val="0"/>
          <w:sz w:val="20"/>
        </w:rPr>
        <w:t>ROIC 10.71% vs WACC 6.14% -&gt; spread +4.57pp — a genuinely value-creating business on every dollar reinvested.</w:t>
      </w:r>
    </w:p>
    <w:p/>
    <w:p>
      <w:pPr>
        <w:pStyle w:val="Heading2"/>
      </w:pPr>
      <w:r>
        <w:rPr>
          <w:color w:val="2E5395"/>
        </w:rPr>
        <w:t>Scenario Analysis — 5-Year Explicit Forecast + Terminal Value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Revenue (Year 5)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NOPLAT margin (Year 5)</w:t>
            </w:r>
          </w:p>
        </w:tc>
        <w:tc>
          <w:tcPr>
            <w:tcW w:type="dxa" w:w="2160"/>
            <w:shd w:fill="1F3864"/>
          </w:tcPr>
          <w:p>
            <w:r/>
            <w:r>
              <w:rPr>
                <w:b/>
                <w:color w:val="FFFFFF"/>
                <w:sz w:val="17"/>
              </w:rPr>
              <w:t>Intrinsic value / share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Bear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$28.24B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13.0%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$83.44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Base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$31.23B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15.0%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$158.44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7"/>
              </w:rPr>
              <w:t>Bull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$33.35B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17.0%</w:t>
            </w:r>
          </w:p>
        </w:tc>
        <w:tc>
          <w:tcPr>
            <w:tcW w:type="dxa" w:w="2160"/>
          </w:tcPr>
          <w:p>
            <w:r/>
            <w:r>
              <w:rPr>
                <w:sz w:val="17"/>
              </w:rPr>
              <w:t>$295.01</w:t>
            </w:r>
          </w:p>
        </w:tc>
      </w:tr>
    </w:tbl>
    <w:p/>
    <w:p>
      <w:r>
        <w:rPr>
          <w:b/>
          <w:i w:val="0"/>
          <w:sz w:val="20"/>
        </w:rPr>
        <w:t>Current price: $217.67. Base case implies -27.2%; only the Bull case (+35.5%) clears today's price.</w:t>
      </w:r>
    </w:p>
    <w:p/>
    <w:p>
      <w:pPr>
        <w:pStyle w:val="Heading2"/>
      </w:pPr>
      <w:r>
        <w:rPr>
          <w:color w:val="2E5395"/>
        </w:rPr>
        <w:t>Margin of Safety — MoS Gate</w:t>
      </w:r>
    </w:p>
    <w:p>
      <w:r>
        <w:rPr>
          <w:b/>
          <w:color w:val="B8860B"/>
          <w:sz w:val="24"/>
        </w:rPr>
        <w:t>MoS Gate: NONE</w:t>
      </w:r>
    </w:p>
    <w:p>
      <w:r>
        <w:rPr>
          <w:b w:val="0"/>
          <w:i w:val="0"/>
          <w:sz w:val="20"/>
        </w:rPr>
        <w:t>Price does not clear even the Base case. Blocks the full COMPOUNDER/QUALITY label regardless of underlying business quality.</w:t>
      </w:r>
    </w:p>
    <w:p>
      <w:r>
        <w:br w:type="page"/>
      </w:r>
    </w:p>
    <w:p>
      <w:pPr>
        <w:pStyle w:val="Heading1"/>
      </w:pPr>
      <w:r>
        <w:rPr>
          <w:color w:val="1F3864"/>
        </w:rPr>
        <w:t>5. Mauboussin — Price-Implied Expectations</w:t>
      </w:r>
    </w:p>
    <w:p>
      <w:r>
        <w:rPr>
          <w:b w:val="0"/>
          <w:i w:val="0"/>
          <w:sz w:val="20"/>
        </w:rPr>
        <w:t>A different tension from a speculative growth name: the internal DCF (Base $158) sits well below both the current price ($217.67) and the sell-side consensus target ($256.24). This is not "the market is pricing fantasy" — it more likely reflects the model's conservative terminal growth/margin assumptions, or that sell-side is implicitly using a lower discount rate (common for bond-like defensive names) and/or crediting more of the Stericycle synergy ramp and future M&amp;A than this organic-only model captures.</w:t>
      </w:r>
    </w:p>
    <w:p/>
    <w:p>
      <w:pPr>
        <w:pStyle w:val="Heading2"/>
      </w:pPr>
      <w:r>
        <w:rPr>
          <w:color w:val="2E5395"/>
        </w:rPr>
        <w:t>Moat &amp; Competitive Advantage Period (CAP)</w:t>
      </w:r>
    </w:p>
    <w:p>
      <w:r>
        <w:rPr>
          <w:b w:val="0"/>
          <w:i w:val="0"/>
          <w:sz w:val="20"/>
        </w:rPr>
        <w:t>Landfill permitting is a genuine, structural barrier to entry — siting a new landfill in the US today is close to impossible. This is a real, already-earned Wide moat (unlike RKLB's conditional one) — CAP estimate 7-15 years.</w:t>
      </w:r>
    </w:p>
    <w:p>
      <w:r>
        <w:br w:type="page"/>
      </w:r>
    </w:p>
    <w:p>
      <w:pPr>
        <w:pStyle w:val="Heading1"/>
      </w:pPr>
      <w:r>
        <w:rPr>
          <w:color w:val="1F3864"/>
        </w:rPr>
        <w:t>6. Fisher — Qualitative Checklist</w:t>
      </w:r>
    </w:p>
    <w:p>
      <w:pPr>
        <w:pStyle w:val="ListBullet"/>
      </w:pPr>
      <w:r>
        <w:rPr>
          <w:sz w:val="20"/>
        </w:rPr>
        <w:t>#1 Stable, non-discretionary market.</w:t>
      </w:r>
    </w:p>
    <w:p>
      <w:pPr>
        <w:pStyle w:val="ListBullet"/>
      </w:pPr>
      <w:r>
        <w:rPr>
          <w:sz w:val="20"/>
        </w:rPr>
        <w:t>#5/#6 Margins expanding structurally (EBITDA margin 27.1% -&gt; 30.9% over 4 years).</w:t>
      </w:r>
    </w:p>
    <w:p>
      <w:pPr>
        <w:pStyle w:val="ListBullet"/>
      </w:pPr>
      <w:r>
        <w:rPr>
          <w:sz w:val="20"/>
        </w:rPr>
        <w:t>#13 Meaningful leverage (D/E 2.3-2.9x) taken on to fund Stericycle — not share dilution, but a real financial-risk factor to monitor.</w:t>
      </w:r>
    </w:p>
    <w:p>
      <w:pPr>
        <w:pStyle w:val="ListBullet"/>
      </w:pPr>
      <w:r>
        <w:rPr>
          <w:sz w:val="20"/>
        </w:rPr>
        <w:t>No share dilution — share count essentially flat/slightly down despite a $7.2B acquisition (debt-funded, not equity-funded).</w:t>
      </w:r>
    </w:p>
    <w:p>
      <w:pPr>
        <w:pStyle w:val="Heading1"/>
      </w:pPr>
      <w:r>
        <w:rPr>
          <w:color w:val="1F3864"/>
        </w:rPr>
        <w:t>7. Ilmanen — Factor Read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Factor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Value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Absent — P/E 32x, EV/EBITDA 15x, above historical average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Quality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Strong — expanding margins, 104% FCF conversion, ROIC &gt; WACC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Momentum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Weak — 12% off the 52-week high, roughly flat year-to-date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Low Beta / Defensive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Very strong — beta 0.43, among the lowest in the market</w:t>
            </w:r>
          </w:p>
        </w:tc>
      </w:tr>
    </w:tbl>
    <w:p/>
    <w:p>
      <w:r>
        <w:rPr>
          <w:b w:val="0"/>
          <w:i w:val="0"/>
          <w:sz w:val="20"/>
        </w:rPr>
        <w:t>Two overlapping positive factors (Quality + Low Beta) — the opposite risk profile from RKLB, and the combination Ilmanen's framework treats as most defensible on a risk-adjusted basis.</w:t>
      </w:r>
    </w:p>
    <w:p>
      <w:r>
        <w:br w:type="page"/>
      </w:r>
    </w:p>
    <w:p>
      <w:pPr>
        <w:pStyle w:val="Heading1"/>
      </w:pPr>
      <w:r>
        <w:rPr>
          <w:color w:val="1F3864"/>
        </w:rPr>
        <w:t>8. Quality Compounder Screen (Framework 8)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Evidence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ROIC 5yr avg &gt; 15%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9.9-12.8%, never above 15%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</w:t>
            </w:r>
          </w:p>
        </w:tc>
      </w:tr>
      <w:tr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ROIC trend stable/improving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Declined post-deal, partial recovery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PARTIAL</w:t>
            </w:r>
          </w:p>
        </w:tc>
      </w:tr>
      <w:tr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Operating margin &gt; 15%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17.4-18.8%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FCF conversion &gt; 80%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89-104%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CapEx/Revenue &lt; 10%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12.8-14.6%</w:t>
            </w:r>
          </w:p>
        </w:tc>
        <w:tc>
          <w:tcPr>
            <w:tcW w:type="dxa" w:w="2880"/>
            <w:shd w:fill="FCE4E4"/>
          </w:tcPr>
          <w:p>
            <w:r/>
            <w:r>
              <w:rPr>
                <w:sz w:val="17"/>
              </w:rPr>
              <w:t>FAIL (structurally capital-intensive)</w:t>
            </w:r>
          </w:p>
        </w:tc>
      </w:tr>
      <w:tr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Growth self-funded (no dilutive equity)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Share count flat/down; Stericycle debt-funded, not equity-funded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Management ownership &gt; 3% (founder) / &gt; 0.5% (pro CEO)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Insufficient data; typically low for a mature company this size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UNCERTAIN</w:t>
            </w:r>
          </w:p>
        </w:tc>
      </w:tr>
      <w:tr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Buyback discipline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Insufficient timing data to score</w:t>
            </w:r>
          </w:p>
        </w:tc>
        <w:tc>
          <w:tcPr>
            <w:tcW w:type="dxa" w:w="2880"/>
            <w:shd w:fill="FFF2CC"/>
          </w:tcPr>
          <w:p>
            <w:r/>
            <w:r>
              <w:rPr>
                <w:sz w:val="17"/>
              </w:rPr>
              <w:t>UNCERTAIN</w:t>
            </w:r>
          </w:p>
        </w:tc>
      </w:tr>
      <w:tr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M&amp;A discipline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Stericycle integration improving, synergies tracking above initial guide</w:t>
            </w:r>
          </w:p>
        </w:tc>
        <w:tc>
          <w:tcPr>
            <w:tcW w:type="dxa" w:w="2880"/>
            <w:shd w:fill="E2EFDA"/>
          </w:tcPr>
          <w:p>
            <w:r/>
            <w:r>
              <w:rPr>
                <w:sz w:val="17"/>
              </w:rPr>
              <w:t>PASS</w:t>
            </w:r>
          </w:p>
        </w:tc>
      </w:tr>
    </w:tbl>
    <w:p/>
    <w:p>
      <w:r>
        <w:rPr>
          <w:b/>
          <w:color w:val="B8860B"/>
          <w:sz w:val="26"/>
        </w:rPr>
        <w:t>Verdict: QUALITY</w:t>
      </w:r>
    </w:p>
    <w:p>
      <w:r>
        <w:rPr>
          <w:b w:val="0"/>
          <w:i w:val="0"/>
          <w:sz w:val="20"/>
        </w:rPr>
        <w:t>4 of 9 criteria clearly pass — below the 7+ threshold for COMPOUNDER, mainly on ROIC under 15% and structurally high CapEx intensity, but well above the &lt;4 TRADE ONLY floor. A credibly good business whose M&amp;A track record is still being proven, not yet a structural compounder.</w:t>
      </w:r>
    </w:p>
    <w:p>
      <w:r>
        <w:br w:type="page"/>
      </w:r>
    </w:p>
    <w:p>
      <w:pPr>
        <w:pStyle w:val="Heading1"/>
      </w:pPr>
      <w:r>
        <w:rPr>
          <w:color w:val="1F3864"/>
        </w:rPr>
        <w:t>9. Sector Appendix — Industrials (Track A-ID)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Current Value</w:t>
            </w:r>
          </w:p>
        </w:tc>
        <w:tc>
          <w:tcPr>
            <w:tcW w:type="dxa" w:w="2880"/>
            <w:shd w:fill="1F3864"/>
          </w:tcPr>
          <w:p>
            <w:r/>
            <w:r>
              <w:rPr>
                <w:b/>
                <w:color w:val="FFFFFF"/>
                <w:sz w:val="17"/>
              </w:rPr>
              <w:t>Read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EV/EBITDA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14-16x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Above the framework's 10-14x "quality" band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Organic revenue growth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4-8%/yr historical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Solid for the sector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EBIT margin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17-19%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Above the &gt;15% "strong" threshold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7"/>
              </w:rPr>
              <w:t>Pricing power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Explicitly cited in Q2 guidance (yield/pricing)</w:t>
            </w:r>
          </w:p>
        </w:tc>
        <w:tc>
          <w:tcPr>
            <w:tcW w:type="dxa" w:w="2880"/>
          </w:tcPr>
          <w:p>
            <w:r/>
            <w:r>
              <w:rPr>
                <w:sz w:val="17"/>
              </w:rPr>
              <w:t>Positive — ability to pass through inflation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</w:rPr>
        <w:t>10. Five-Year Ratio Trend Analysis</w:t>
      </w:r>
    </w:p>
    <w:p>
      <w:pPr>
        <w:pStyle w:val="Heading2"/>
      </w:pPr>
      <w:r>
        <w:rPr>
          <w:color w:val="2E5395"/>
        </w:rPr>
        <w:t>Base Ratio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  <w:tc>
          <w:tcPr>
            <w:tcW w:type="dxa" w:w="1440"/>
            <w:shd w:fill="1F3864"/>
          </w:tcPr>
          <w:p>
            <w:r/>
            <w:r>
              <w:rPr>
                <w:b/>
                <w:color w:val="FFFFFF"/>
                <w:sz w:val="17"/>
              </w:rPr>
              <w:t>TTM (Q2'26)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Revenue ($B)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19.7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20.4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22.1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25.2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25.7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Revenue growth YoY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+3.7%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+8.0%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+14.2%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+1.8%*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Gross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37.6%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38.3%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39.3%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40.4%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EBITDA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28.6%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30.3%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EBIT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17.4%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18.3%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Net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ROE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33.4%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33.3%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ROIC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12.1%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12.8%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10.7%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P/E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27.1x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30.1x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28.8x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32.4x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EV/EBITDA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14.1x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16.2x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15.3x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14.1x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EV/Revenue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3.8x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4.2x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4.7x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4.4x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4.3x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P/B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8.8x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10.0x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9.6x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8.8x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8.8x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Debt/Equity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2.19x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2.35x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2.90x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2.29x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2.35x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Net debt ($B)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14.6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15.8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23.5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22.7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22.8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17"/>
              </w:rPr>
              <w:t>FCF margin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8.9%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9.8%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11.2%</w:t>
            </w:r>
          </w:p>
        </w:tc>
        <w:tc>
          <w:tcPr>
            <w:tcW w:type="dxa" w:w="1440"/>
          </w:tcPr>
          <w:p>
            <w:r/>
            <w:r>
              <w:rPr>
                <w:sz w:val="17"/>
              </w:rPr>
              <w:t>n/a</w:t>
            </w:r>
          </w:p>
        </w:tc>
      </w:tr>
    </w:tbl>
    <w:p/>
    <w:p>
      <w:r>
        <w:rPr>
          <w:b w:val="0"/>
          <w:i/>
          <w:color w:val="808080"/>
          <w:sz w:val="17"/>
        </w:rPr>
        <w:t>*TTM vs full FY2025 — not directly comparable to the +4.0% YoY quarterly figure.</w:t>
      </w:r>
    </w:p>
    <w:p/>
    <w:p>
      <w:pPr>
        <w:pStyle w:val="Heading2"/>
      </w:pPr>
      <w:r>
        <w:rPr>
          <w:color w:val="2E5395"/>
        </w:rPr>
        <w:t>Sector-Specific Ratio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Metric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FY2022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FY2023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FY2024</w:t>
            </w:r>
          </w:p>
        </w:tc>
        <w:tc>
          <w:tcPr>
            <w:tcW w:type="dxa" w:w="1728"/>
            <w:shd w:fill="1F3864"/>
          </w:tcPr>
          <w:p>
            <w:r/>
            <w:r>
              <w:rPr>
                <w:b/>
                <w:color w:val="FFFFFF"/>
                <w:sz w:val="17"/>
              </w:rPr>
              <w:t>FY2025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7"/>
              </w:rPr>
              <w:t>CapEx / Revenue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13.1%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14.2%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14.6%</w:t>
            </w:r>
          </w:p>
        </w:tc>
        <w:tc>
          <w:tcPr>
            <w:tcW w:type="dxa" w:w="1728"/>
          </w:tcPr>
          <w:p>
            <w:r/>
            <w:r>
              <w:rPr>
                <w:sz w:val="17"/>
              </w:rPr>
              <w:t>12.8%</w:t>
            </w:r>
          </w:p>
        </w:tc>
      </w:tr>
    </w:tbl>
    <w:p/>
    <w:p>
      <w:pPr>
        <w:pStyle w:val="Heading2"/>
      </w:pPr>
      <w:r>
        <w:rPr>
          <w:color w:val="2E5395"/>
        </w:rPr>
        <w:t>Interpretation</w:t>
      </w:r>
    </w:p>
    <w:p>
      <w:r>
        <w:rPr>
          <w:b w:val="0"/>
          <w:i w:val="0"/>
          <w:sz w:val="20"/>
        </w:rPr>
        <w:t>The FY2024-FY2025 revenue jump (+14.2%) and the FY2023-FY2024 debt jump (+47%) are both the imprint of Stericycle, not organic growth. ROIC dipping in exactly the year the deal closed (12.8% -&gt; 9.9%), and still not back to pre-2024 levels, is the hard number behind the QUALITY-not-COMPOUNDER verdict in Section 8 — the M&amp;A still has to prove it creates net value, not just scale. P/E climbing steadily (27x -&gt; 32x) while ROIC declines is the same valuation tension already quantified by the DCF in Section 4 — the multiple is expanding faster than the underlying operating quality.</w:t>
      </w:r>
    </w:p>
    <w:p>
      <w:r>
        <w:br w:type="page"/>
      </w:r>
    </w:p>
    <w:p>
      <w:pPr>
        <w:pStyle w:val="Heading1"/>
      </w:pPr>
      <w:r>
        <w:rPr>
          <w:color w:val="1F3864"/>
        </w:rPr>
        <w:t>11. Final Verdict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Field</w:t>
            </w:r>
          </w:p>
        </w:tc>
        <w:tc>
          <w:tcPr>
            <w:tcW w:type="dxa" w:w="4320"/>
            <w:shd w:fill="1F3864"/>
          </w:tcPr>
          <w:p>
            <w:r/>
            <w:r>
              <w:rPr>
                <w:b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Ticker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WM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Track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A-ID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Category (Lynch)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Stalwart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F-Rating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Overvalued (vs internal DCF)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DCF Bear-Base-Bull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$83.44 / $158.44 / $295.01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MoS Gate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Compounder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QUALITY (capped to WATCH by MoS)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AI Impact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Neutral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Horizon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3-5yr if price retraces into range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7"/>
              </w:rPr>
              <w:t>Thesis Invalidation</w:t>
            </w:r>
          </w:p>
        </w:tc>
        <w:tc>
          <w:tcPr>
            <w:tcW w:type="dxa" w:w="4320"/>
          </w:tcPr>
          <w:p>
            <w:r/>
            <w:r>
              <w:rPr>
                <w:sz w:val="17"/>
              </w:rPr>
              <w:t>ROIC failing to recover above 12% by FY2027, or leverage not declining toward the 2.75-3.0x target</w:t>
            </w:r>
          </w:p>
        </w:tc>
      </w:tr>
    </w:tbl>
    <w:p/>
    <w:p>
      <w:r>
        <w:rPr>
          <w:b/>
          <w:i w:val="0"/>
          <w:color w:val="1F3864"/>
          <w:sz w:val="24"/>
        </w:rPr>
        <w:t>Summary</w:t>
      </w:r>
    </w:p>
    <w:p>
      <w:r>
        <w:rPr>
          <w:b w:val="0"/>
          <w:i w:val="0"/>
          <w:sz w:val="20"/>
        </w:rPr>
        <w:t>A genuinely good business — a real, already-earned moat (landfill permitting), demonstrated pricing power, excellent FCF conversion — bought with meaningful leverage to fund Stericycle, with ROIC still below pre-deal levels and a price this model does not justify even in the Base case, despite sell-side consensus still seeing upside. Unlike RKLB, the question here is not whether the business works — it already does — but whether today's price is paying too much for quality the market already knows about.</w:t>
      </w:r>
    </w:p>
    <w:p/>
    <w:p>
      <w:r>
        <w:rPr>
          <w:b/>
          <w:i w:val="0"/>
          <w:color w:val="1F3864"/>
          <w:sz w:val="22"/>
        </w:rPr>
        <w:t>What would change the verdict</w:t>
      </w:r>
    </w:p>
    <w:p>
      <w:r>
        <w:rPr>
          <w:b w:val="0"/>
          <w:i w:val="0"/>
          <w:sz w:val="20"/>
        </w:rPr>
        <w:t>ROIC recovering above 13% (a sign the Stericycle synergies are materializing in fact, not just on paper), leverage declining toward the 2.75-3.0x target, or a price pullback toward $158-180 that would bring the MoS Gate into Base/Bear range.</w:t>
      </w:r>
    </w:p>
    <w:p/>
    <w:p>
      <w:pPr>
        <w:jc w:val="center"/>
      </w:pPr>
      <w:r>
        <w:rPr>
          <w:color w:val="BFBFBF"/>
        </w:rPr>
        <w:t>─────────────────────────────</w:t>
      </w:r>
    </w:p>
    <w:p>
      <w:r>
        <w:rPr>
          <w:b w:val="0"/>
          <w:i/>
          <w:color w:val="595959"/>
          <w:sz w:val="18"/>
        </w:rPr>
        <w:t>Disclosure: the author holds no position in WM as at the date of production. This report does not instruct any action — it is a framework-driven analysis. In my Opinion, this is not financial advice, just my view.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