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52"/>
        </w:rPr>
        <w:t>FREEPORT-McMoRan INC. (FCX)</w:t>
      </w:r>
    </w:p>
    <w:p>
      <w:pPr>
        <w:jc w:val="center"/>
      </w:pPr>
      <w:r>
        <w:rPr>
          <w:color w:val="2E5395"/>
          <w:sz w:val="28"/>
        </w:rPr>
        <w:t>Long-Term Conviction Report — Deep-Dive Mode</w:t>
      </w:r>
    </w:p>
    <w:p>
      <w:pPr>
        <w:jc w:val="center"/>
      </w:pPr>
      <w:r>
        <w:rPr>
          <w:i/>
          <w:color w:val="595959"/>
          <w:sz w:val="20"/>
        </w:rPr>
        <w:t>Track: A-MN (Mining &amp; Metals)  |  Price at production: $69.24  |  Date: 2026-09-15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B8860B"/>
          </w:tcPr>
          <w:p>
            <w:r/>
            <w:r>
              <w:rPr>
                <w:b/>
                <w:color w:val="FFFFFF"/>
                <w:sz w:val="20"/>
              </w:rPr>
              <w:t>VERDICT</w:t>
            </w:r>
          </w:p>
        </w:tc>
      </w:tr>
      <w:tr>
        <w:tc>
          <w:tcPr>
            <w:tcW w:type="dxa" w:w="8640"/>
            <w:shd w:fill="FCF0D9"/>
          </w:tcPr>
          <w:p>
            <w:r/>
            <w:r>
              <w:rPr>
                <w:b/>
                <w:sz w:val="22"/>
              </w:rPr>
              <w:t>F-Rating: OVERVALUED (vs internal DCF)   |   MoS Gate: NONE   |   Compounder: QUALITY (capped to WATCH)   |   AI Impact: NEUTRAL-TAILWIND</w:t>
            </w:r>
          </w:p>
          <w:p>
            <w:r>
              <w:rPr>
                <w:sz w:val="20"/>
              </w:rPr>
              <w:t>DCF Bear / Base / Bull: $12.92 / $28.19 / $53.38 per share  —  even the Bull case sits 22.9% below the $69.24 price at production</w:t>
            </w:r>
          </w:p>
        </w:tc>
      </w:tr>
    </w:tbl>
    <w:p/>
    <w:p>
      <w:r>
        <w:rPr>
          <w:b w:val="0"/>
          <w:i/>
          <w:color w:val="808080"/>
          <w:sz w:val="18"/>
        </w:rPr>
        <w:t>This is a personal long-term conviction analysis, produced by the long-term-analyst.md agent (Deep-Dive Mode). It is not a subscriber publication and carries no MAR/regulatory disclosure apparatus. Every figure below is sourced and dated; DCF outputs are illustrative scenario modelling, not a precise forecast — commodity producers are especially sensitive to the underlying price-path assumption embedded in the margin scenarios.</w:t>
      </w:r>
    </w:p>
    <w:p>
      <w:r>
        <w:br w:type="page"/>
      </w:r>
    </w:p>
    <w:p>
      <w:pPr>
        <w:pStyle w:val="Heading1"/>
      </w:pPr>
      <w:r>
        <w:rPr>
          <w:color w:val="1F3864"/>
        </w:rPr>
        <w:t>Contents</w:t>
      </w:r>
    </w:p>
    <w:p>
      <w:pPr>
        <w:pStyle w:val="ListBullet"/>
      </w:pPr>
      <w:r>
        <w:rPr>
          <w:sz w:val="20"/>
        </w:rPr>
        <w:t>0. Recent Context — Last Earnings &amp; News</w:t>
      </w:r>
    </w:p>
    <w:p>
      <w:pPr>
        <w:pStyle w:val="ListBullet"/>
      </w:pPr>
      <w:r>
        <w:rPr>
          <w:sz w:val="20"/>
        </w:rPr>
        <w:t>1. Business Overview</w:t>
      </w:r>
    </w:p>
    <w:p>
      <w:pPr>
        <w:pStyle w:val="ListBullet"/>
      </w:pPr>
      <w:r>
        <w:rPr>
          <w:sz w:val="20"/>
        </w:rPr>
        <w:t>2. Routing</w:t>
      </w:r>
    </w:p>
    <w:p>
      <w:pPr>
        <w:pStyle w:val="ListBullet"/>
      </w:pPr>
      <w:r>
        <w:rPr>
          <w:sz w:val="20"/>
        </w:rPr>
        <w:t>3. Categorization (Lynch)</w:t>
      </w:r>
    </w:p>
    <w:p>
      <w:pPr>
        <w:pStyle w:val="ListBullet"/>
      </w:pPr>
      <w:r>
        <w:rPr>
          <w:sz w:val="20"/>
        </w:rPr>
        <w:t>4. Earnings Quality (Penman)</w:t>
      </w:r>
    </w:p>
    <w:p>
      <w:pPr>
        <w:pStyle w:val="ListBullet"/>
      </w:pPr>
      <w:r>
        <w:rPr>
          <w:sz w:val="20"/>
        </w:rPr>
        <w:t>5. Valuation — DCF (Koller)</w:t>
      </w:r>
    </w:p>
    <w:p>
      <w:pPr>
        <w:pStyle w:val="ListBullet"/>
      </w:pPr>
      <w:r>
        <w:rPr>
          <w:sz w:val="20"/>
        </w:rPr>
        <w:t>6. Mauboussin — Price-Implied Expectations</w:t>
      </w:r>
    </w:p>
    <w:p>
      <w:pPr>
        <w:pStyle w:val="ListBullet"/>
      </w:pPr>
      <w:r>
        <w:rPr>
          <w:sz w:val="20"/>
        </w:rPr>
        <w:t>7. Fisher — Qualitative Checklist</w:t>
      </w:r>
    </w:p>
    <w:p>
      <w:pPr>
        <w:pStyle w:val="ListBullet"/>
      </w:pPr>
      <w:r>
        <w:rPr>
          <w:sz w:val="20"/>
        </w:rPr>
        <w:t>8. Ilmanen — Factor Read</w:t>
      </w:r>
    </w:p>
    <w:p>
      <w:pPr>
        <w:pStyle w:val="ListBullet"/>
      </w:pPr>
      <w:r>
        <w:rPr>
          <w:sz w:val="20"/>
        </w:rPr>
        <w:t>9. Quality Compounder Screen</w:t>
      </w:r>
    </w:p>
    <w:p>
      <w:pPr>
        <w:pStyle w:val="ListBullet"/>
      </w:pPr>
      <w:r>
        <w:rPr>
          <w:sz w:val="20"/>
        </w:rPr>
        <w:t>10. Sector Appendix — Mining &amp; Metals</w:t>
      </w:r>
    </w:p>
    <w:p>
      <w:pPr>
        <w:pStyle w:val="ListBullet"/>
      </w:pPr>
      <w:r>
        <w:rPr>
          <w:sz w:val="20"/>
        </w:rPr>
        <w:t>11. Five-Year Ratio Trend Analysis</w:t>
      </w:r>
    </w:p>
    <w:p>
      <w:pPr>
        <w:pStyle w:val="ListBullet"/>
      </w:pPr>
      <w:r>
        <w:rPr>
          <w:sz w:val="20"/>
        </w:rPr>
        <w:t>12. Final Verdict</w:t>
      </w:r>
    </w:p>
    <w:p>
      <w:r>
        <w:br w:type="page"/>
      </w:r>
    </w:p>
    <w:p>
      <w:pPr>
        <w:pStyle w:val="Heading1"/>
      </w:pPr>
      <w:r>
        <w:rPr>
          <w:color w:val="1F3864"/>
        </w:rPr>
        <w:t>0. Recent Context — Last Earnings &amp; News</w:t>
      </w:r>
    </w:p>
    <w:p>
      <w:pPr>
        <w:pStyle w:val="Heading2"/>
      </w:pPr>
      <w:r>
        <w:rPr>
          <w:color w:val="2E5395"/>
        </w:rPr>
        <w:t>Last Reported Quarter (Q2 2026)</w:t>
      </w:r>
    </w:p>
    <w:p>
      <w:pPr>
        <w:pStyle w:val="ListBullet"/>
      </w:pPr>
      <w:r>
        <w:rPr>
          <w:sz w:val="20"/>
        </w:rPr>
        <w:t>Adjusted EPS $0.74 vs $0.62 consensus; revenue $7.03B vs $6.47B consensus — clear beat, driven by a record realized copper price of $6.17/lb (+36% YoY).</w:t>
      </w:r>
    </w:p>
    <w:p>
      <w:pPr>
        <w:pStyle w:val="ListBullet"/>
      </w:pPr>
      <w:r>
        <w:rPr>
          <w:sz w:val="20"/>
        </w:rPr>
        <w:t>Grasberg (Indonesia): production rate doubled in the quarter, from 34,000 to 69,000 metric tons/day, recovering from a fatal 2025 accident.</w:t>
      </w:r>
    </w:p>
    <w:p>
      <w:pPr>
        <w:pStyle w:val="ListBullet"/>
      </w:pPr>
      <w:r>
        <w:rPr>
          <w:sz w:val="20"/>
        </w:rPr>
        <w:t>Guidance: Grasberg district ~65% of capacity in 2H 2026, 80% by mid-2027, full capacity only by year-end 2027. 2026 unit cash cost guided at $1.90/lb.</w:t>
      </w:r>
    </w:p>
    <w:p>
      <w:pPr>
        <w:pStyle w:val="Heading2"/>
      </w:pPr>
      <w:r>
        <w:rPr>
          <w:color w:val="2E5395"/>
        </w:rPr>
        <w:t>Recent News</w:t>
      </w:r>
    </w:p>
    <w:p>
      <w:pPr>
        <w:pStyle w:val="ListBullet"/>
      </w:pPr>
      <w:r>
        <w:rPr>
          <w:sz w:val="20"/>
        </w:rPr>
        <w:t>Stock fell 8% on Sept 10, 2026 after the White House left copper tariff plans undecided, reversing part of copper's record rally (futures had hit an all-time high of $6.89/lb before pulling back over 4%). FCX is the most copper-levered US producer, so it moves furthest in both directions.</w:t>
      </w:r>
    </w:p>
    <w:p>
      <w:pPr>
        <w:pStyle w:val="ListBullet"/>
      </w:pPr>
      <w:r>
        <w:rPr>
          <w:sz w:val="20"/>
        </w:rPr>
        <w:t>Despite the pullback, the stock remains +40% year-to-date.</w:t>
      </w:r>
    </w:p>
    <w:p>
      <w:pPr>
        <w:pStyle w:val="ListBullet"/>
      </w:pPr>
      <w:r>
        <w:rPr>
          <w:sz w:val="20"/>
        </w:rPr>
        <w:t>Analyst consensus: 25 analysts, average target $70.27, wide range $30-$81 (Barclays/UBS/Deutsche Bank bullish $72-77; Bernstein bearish $47).</w:t>
      </w:r>
    </w:p>
    <w:p>
      <w:pPr>
        <w:pStyle w:val="ListBullet"/>
      </w:pPr>
      <w:r>
        <w:rPr>
          <w:sz w:val="20"/>
        </w:rPr>
        <w:t>FY2026 revenue estimate was cut from $30.0B to $28.0B and EPS from $2.81 to $2.32 despite the Grasberg recovery narrative.</w:t>
      </w:r>
    </w:p>
    <w:p/>
    <w:p>
      <w:r>
        <w:rPr>
          <w:b w:val="0"/>
          <w:i/>
          <w:color w:val="808080"/>
          <w:sz w:val="17"/>
        </w:rPr>
        <w:t>Sources: Yahoo Finance/Reuters (Q2 earnings), Benzinga, 247wallst, ad-hoc-news (Sept 2026 tariff-driven selloff), TIKR/consensus aggregators (analyst targets).</w:t>
      </w:r>
    </w:p>
    <w:p>
      <w:r>
        <w:br w:type="page"/>
      </w:r>
    </w:p>
    <w:p>
      <w:pPr>
        <w:pStyle w:val="Heading1"/>
      </w:pPr>
      <w:r>
        <w:rPr>
          <w:color w:val="1F3864"/>
        </w:rPr>
        <w:t>1. Business Overview</w:t>
      </w:r>
    </w:p>
    <w:p>
      <w:r>
        <w:rPr>
          <w:b w:val="0"/>
          <w:i w:val="0"/>
          <w:sz w:val="20"/>
        </w:rPr>
        <w:t>Segments: North America copper mines (Morenci, Bagdad, Safford/Sierrita, Miami, Chino, Tyrone), South America (Cerro Verde-Peru, El Abra-Chile), and Indonesia (Grasberg) — one of the world's largest copper and gold mines, currently the central operational risk and recovery story. Products: copper, gold, molybdenum as a by-product.</w:t>
      </w:r>
    </w:p>
    <w:p>
      <w:r>
        <w:rPr>
          <w:b w:val="0"/>
          <w:i w:val="0"/>
          <w:sz w:val="20"/>
        </w:rPr>
        <w:t>Principal markets: global copper demand driven by electrification, EVs, grid infrastructure, and data center/AI buildout (a third-party/analyst narrative, not an FCX-disclosed figure). FY2026 guidance ~3.1 billion lbs copper (~1.4Mt) — a meaningful but not dominant share of estimated global copper demand (~26-27Mt/yr, third-party estimate).</w:t>
      </w:r>
    </w:p>
    <w:p>
      <w:r>
        <w:rPr>
          <w:b w:val="0"/>
          <w:i/>
          <w:sz w:val="20"/>
        </w:rPr>
        <w:t>TAM: no official FCX-disclosed TAM figure found — the "copper supercycle" narrative is largely third-party (analyst/media), flagged here rather than treated as company guidance.</w:t>
      </w:r>
    </w:p>
    <w:p>
      <w:pPr>
        <w:pStyle w:val="Heading1"/>
      </w:pPr>
      <w:r>
        <w:rPr>
          <w:color w:val="1F3864"/>
        </w:rPr>
        <w:t>2. Routing</w:t>
      </w:r>
    </w:p>
    <w:p>
      <w:r>
        <w:rPr>
          <w:b w:val="0"/>
          <w:i w:val="0"/>
          <w:sz w:val="20"/>
        </w:rPr>
        <w:t>Track A-MN (Mining &amp; Metals) — P/NAV and AISC are the sector's primary valuation anchors per the Sector Appendix, not generic DCF alone.</w:t>
      </w:r>
    </w:p>
    <w:p>
      <w:pPr>
        <w:pStyle w:val="Heading1"/>
      </w:pPr>
      <w:r>
        <w:rPr>
          <w:color w:val="1F3864"/>
        </w:rPr>
        <w:t>3. Categorization (Lynch)</w:t>
      </w:r>
    </w:p>
    <w:p>
      <w:r>
        <w:rPr>
          <w:b w:val="0"/>
          <w:i w:val="0"/>
          <w:sz w:val="20"/>
        </w:rPr>
        <w:t>Cyclical — sales and profits track the copper price cycle. Lynch's own rule applies directly here: never value a cyclical off trailing P/E at peak earnings, which is precisely the setup today with copper near record highs.</w:t>
      </w:r>
    </w:p>
    <w:p>
      <w:pPr>
        <w:pStyle w:val="Heading1"/>
      </w:pPr>
      <w:r>
        <w:rPr>
          <w:color w:val="1F3864"/>
        </w:rPr>
        <w:t>4. Earnings Quality (Penman)</w:t>
      </w:r>
    </w:p>
    <w:p>
      <w:pPr>
        <w:pStyle w:val="ListBullet"/>
      </w:pPr>
      <w:r>
        <w:rPr>
          <w:sz w:val="20"/>
        </w:rPr>
        <w:t>ROIC has declined structurally for 4 straight years: 29.1% (2022) -&gt; 21.7% -&gt; 22.3% -&gt; 19.3% (2025) — despite revenue roughly flat (+1.8% cumulative over 3 years) and copper prices at records.</w:t>
      </w:r>
    </w:p>
    <w:p>
      <w:pPr>
        <w:pStyle w:val="ListBullet"/>
      </w:pPr>
      <w:r>
        <w:rPr>
          <w:sz w:val="20"/>
        </w:rPr>
        <w:t>FCF is weak and volatile: FCF margin 7.3% -&gt; 2.0% -&gt; 9.2% -&gt; 4.3%. CapEx/Revenue structurally high (15-21%), inherent to the business, but cash conversion isn't improving despite record prices.</w:t>
      </w:r>
    </w:p>
    <w:p>
      <w:pPr>
        <w:pStyle w:val="ListBullet"/>
      </w:pPr>
      <w:r>
        <w:rPr>
          <w:sz w:val="20"/>
        </w:rPr>
        <w:t>No accrual-inflation signal — the issue is genuine capital intensity, not aggressive accounting.</w:t>
      </w:r>
    </w:p>
    <w:p>
      <w:r>
        <w:br w:type="page"/>
      </w:r>
    </w:p>
    <w:p>
      <w:pPr>
        <w:pStyle w:val="Heading1"/>
      </w:pPr>
      <w:r>
        <w:rPr>
          <w:color w:val="1F3864"/>
        </w:rPr>
        <w:t>5. Valuation — DCF (Koller)</w:t>
      </w:r>
    </w:p>
    <w:p>
      <w:pPr>
        <w:pStyle w:val="Heading2"/>
      </w:pPr>
      <w:r>
        <w:rPr>
          <w:color w:val="2E5395"/>
        </w:rPr>
        <w:t>WACC Construction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3864"/>
          </w:tcPr>
          <w:p>
            <w:r/>
            <w:r>
              <w:rPr>
                <w:b/>
                <w:color w:val="FFFFFF"/>
                <w:sz w:val="17"/>
              </w:rPr>
              <w:t>Input</w:t>
            </w:r>
          </w:p>
        </w:tc>
        <w:tc>
          <w:tcPr>
            <w:tcW w:type="dxa" w:w="4320"/>
            <w:shd w:fill="1F3864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Risk-free rate (10Y UST)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4.784%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Equity risk premium (US)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4.5%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Beta (highest of all names analyzed this session)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1.401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Cost of equity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11.09%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D/V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9.4%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WACC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10.44%</w:t>
            </w:r>
          </w:p>
        </w:tc>
      </w:tr>
    </w:tbl>
    <w:p/>
    <w:p>
      <w:pPr>
        <w:pStyle w:val="Heading2"/>
      </w:pPr>
      <w:r>
        <w:rPr>
          <w:color w:val="2E5395"/>
        </w:rPr>
        <w:t>ROIC vs WACC</w:t>
      </w:r>
    </w:p>
    <w:p>
      <w:r>
        <w:rPr>
          <w:b/>
          <w:i w:val="0"/>
          <w:sz w:val="20"/>
        </w:rPr>
        <w:t>ROIC 19.63% vs WACC 10.44% -&gt; spread +9.19pp — the best ROIC-WACC spread of every name analyzed this session (RKLB negative, WM +4.57pp, MKC +1.81pp, 7013.T +6.41pp).</w:t>
      </w:r>
    </w:p>
    <w:p/>
    <w:p>
      <w:pPr>
        <w:pStyle w:val="Heading2"/>
      </w:pPr>
      <w:r>
        <w:rPr>
          <w:color w:val="2E5395"/>
        </w:rPr>
        <w:t>Scenario Analysis — 5-Year Explicit Forecast + Terminal Value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3864"/>
          </w:tcPr>
          <w:p>
            <w:r/>
            <w:r>
              <w:rPr>
                <w:b/>
                <w:color w:val="FFFFFF"/>
                <w:sz w:val="17"/>
              </w:rPr>
              <w:t>Scenario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b/>
                <w:color w:val="FFFFFF"/>
                <w:sz w:val="17"/>
              </w:rPr>
              <w:t>Revenue (Year 5)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b/>
                <w:color w:val="FFFFFF"/>
                <w:sz w:val="17"/>
              </w:rPr>
              <w:t>NOPLAT margin (Year 5)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b/>
                <w:color w:val="FFFFFF"/>
                <w:sz w:val="17"/>
              </w:rPr>
              <w:t>Intrinsic value / share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Bear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$28.0B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11.0%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$12.92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Base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$38.1B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17.0%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$28.19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Bull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$49.8B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23.0%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$53.38</w:t>
            </w:r>
          </w:p>
        </w:tc>
      </w:tr>
    </w:tbl>
    <w:p/>
    <w:p>
      <w:r>
        <w:rPr>
          <w:b/>
          <w:i w:val="0"/>
          <w:sz w:val="20"/>
        </w:rPr>
        <w:t>Current price: $69.24. Even the Bull case is -22.9% below today's price — the largest DCF-to-price gap of any name analyzed this session.</w:t>
      </w:r>
    </w:p>
    <w:p/>
    <w:p>
      <w:pPr>
        <w:pStyle w:val="Heading2"/>
      </w:pPr>
      <w:r>
        <w:rPr>
          <w:color w:val="2E5395"/>
        </w:rPr>
        <w:t>Margin of Safety — MoS Gate</w:t>
      </w:r>
    </w:p>
    <w:p>
      <w:r>
        <w:rPr>
          <w:b/>
          <w:color w:val="B8860B"/>
          <w:sz w:val="24"/>
        </w:rPr>
        <w:t>MoS Gate: NONE</w:t>
      </w:r>
    </w:p>
    <w:p>
      <w:r>
        <w:rPr>
          <w:b w:val="0"/>
          <w:i w:val="0"/>
          <w:sz w:val="20"/>
        </w:rPr>
        <w:t>Price clears none of the three DCF scenarios.</w:t>
      </w:r>
    </w:p>
    <w:p>
      <w:r>
        <w:br w:type="page"/>
      </w:r>
    </w:p>
    <w:p>
      <w:pPr>
        <w:pStyle w:val="Heading1"/>
      </w:pPr>
      <w:r>
        <w:rPr>
          <w:color w:val="1F3864"/>
        </w:rPr>
        <w:t>6. Mauboussin — Price-Implied Expectations</w:t>
      </w:r>
    </w:p>
    <w:p>
      <w:r>
        <w:rPr>
          <w:b w:val="0"/>
          <w:i w:val="0"/>
          <w:sz w:val="20"/>
        </w:rPr>
        <w:t>A genuine, honestly-flagged tension: FCX has the best ROIC-WACC spread of the group, yet the largest relative DCF-to-price gap. Two legitimate readings, and this report does not force a pick between them: (1) a linear "revenue growth + margin" DCF understates a commodity producer's operating leverage — with largely fixed costs, FCX's earnings move more than proportionally with the copper price, a convexity a straight-line model captures poorly; or (2) the price is genuinely pricing a structurally higher copper price path (electrification + AI data centers) than these scenarios assume. The average analyst target ($70.27) sitting almost exactly at the current price, while the internal DCF sits far lower, confirms the market is paying for the cycle holding, not for organic business growth.</w:t>
      </w:r>
    </w:p>
    <w:p/>
    <w:p>
      <w:pPr>
        <w:pStyle w:val="Heading2"/>
      </w:pPr>
      <w:r>
        <w:rPr>
          <w:color w:val="2E5395"/>
        </w:rPr>
        <w:t>Moat &amp; Competitive Advantage Period (CAP)</w:t>
      </w:r>
    </w:p>
    <w:p>
      <w:r>
        <w:rPr>
          <w:b w:val="0"/>
          <w:i w:val="0"/>
          <w:sz w:val="20"/>
        </w:rPr>
        <w:t>Real barriers to entry (permitting, irreplaceable deposits like Grasberg) but zero pricing power on the sold product (a price-taker on a global commodity) — a supply-side moat, not a commercial one. Typically short CAP for pure cyclicals (0-3y per Mauboussin), though asset quality/scale (especially Grasberg) arguably justifies more — perhaps 3-7y (Narrow).</w:t>
      </w:r>
    </w:p>
    <w:p>
      <w:pPr>
        <w:pStyle w:val="Heading1"/>
      </w:pPr>
      <w:r>
        <w:rPr>
          <w:color w:val="1F3864"/>
        </w:rPr>
        <w:t>7. Fisher — Qualitative Checklist</w:t>
      </w:r>
    </w:p>
    <w:p>
      <w:pPr>
        <w:pStyle w:val="ListBullet"/>
      </w:pPr>
      <w:r>
        <w:rPr>
          <w:sz w:val="20"/>
        </w:rPr>
        <w:t>#12 near-term outlook is entirely tied to the Grasberg restoration timeline (through end-2027) — an operational, trackable event, not a market one.</w:t>
      </w:r>
    </w:p>
    <w:p>
      <w:pPr>
        <w:pStyle w:val="ListBullet"/>
      </w:pPr>
      <w:r>
        <w:rPr>
          <w:sz w:val="20"/>
        </w:rPr>
        <w:t>Active buybacks cited by sources ("ongoing buybacks") — a disciplined capital-allocation signal.</w:t>
      </w:r>
    </w:p>
    <w:p>
      <w:pPr>
        <w:pStyle w:val="ListBullet"/>
      </w:pPr>
      <w:r>
        <w:rPr>
          <w:sz w:val="20"/>
        </w:rPr>
        <w:t>No pricing power on the finished product — all the operating leverage is cost-side, not commercial.</w:t>
      </w:r>
    </w:p>
    <w:p>
      <w:r>
        <w:br w:type="page"/>
      </w:r>
    </w:p>
    <w:p>
      <w:pPr>
        <w:pStyle w:val="Heading1"/>
      </w:pPr>
      <w:r>
        <w:rPr>
          <w:color w:val="1F3864"/>
        </w:rPr>
        <w:t>8. Ilmanen — Factor Read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3864"/>
          </w:tcPr>
          <w:p>
            <w:r/>
            <w:r>
              <w:rPr>
                <w:b/>
                <w:color w:val="FFFFFF"/>
                <w:sz w:val="17"/>
              </w:rPr>
              <w:t>Factor</w:t>
            </w:r>
          </w:p>
        </w:tc>
        <w:tc>
          <w:tcPr>
            <w:tcW w:type="dxa" w:w="4320"/>
            <w:shd w:fill="1F3864"/>
          </w:tcPr>
          <w:p>
            <w:r/>
            <w:r>
              <w:rPr>
                <w:b/>
                <w:color w:val="FFFFFF"/>
                <w:sz w:val="17"/>
              </w:rPr>
              <w:t>Read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Value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Absent — P/E 32.8x, EV/EBITDA 9.0x, near the top of the company's own historical range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Quality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Strong — ROIC 19.6%, the best ROIC-WACC spread of the group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Momentum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Very strong historically (+40% YTD) but just broke (-9% in the last week)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Low Beta / Defensive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Absent — beta 1.40, the highest of any name analyzed this session</w:t>
            </w:r>
          </w:p>
        </w:tc>
      </w:tr>
    </w:tbl>
    <w:p>
      <w:pPr>
        <w:pStyle w:val="Heading1"/>
      </w:pPr>
      <w:r>
        <w:rPr>
          <w:color w:val="1F3864"/>
        </w:rPr>
        <w:t>9. Quality Compounder Screen (Framework 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b/>
                <w:color w:val="FFFFFF"/>
                <w:sz w:val="17"/>
              </w:rPr>
              <w:t>Criterion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b/>
                <w:color w:val="FFFFFF"/>
                <w:sz w:val="17"/>
              </w:rPr>
              <w:t>Evidence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b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ROIC 5yr avg &gt; 15%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19.3-29.1%, always above threshold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ROIC trend stable/improving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Structurally declining 4 straight years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FAIL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Operating margin &gt; 15%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25-31%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FCF conversion &gt; 80%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Volatile, often well below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FAIL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CapEx/Revenue &lt; 10%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15-21%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FAIL (intrinsic to mining)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Growth self-funded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Share count stable ~1,430-1,436M across 4 years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Management ownership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Insufficient data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UNCERTAIN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Buyback discipline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Active, but no price/timing data to score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UNCERTAIN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M&amp;A discipline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No material recent M&amp;A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N/A</w:t>
            </w:r>
          </w:p>
        </w:tc>
      </w:tr>
    </w:tbl>
    <w:p/>
    <w:p>
      <w:r>
        <w:rPr>
          <w:b/>
          <w:color w:val="B8860B"/>
          <w:sz w:val="26"/>
        </w:rPr>
        <w:t>Verdict: QUALITY (capped to WATCH by MoS)</w:t>
      </w:r>
    </w:p>
    <w:p>
      <w:r>
        <w:rPr>
          <w:b w:val="0"/>
          <w:i w:val="0"/>
          <w:sz w:val="20"/>
        </w:rPr>
        <w:t>4 of 9 criteria clearly pass — the only name analyzed this session with ROIC always above 15% in every year measured, but the declining trend and the price disconnect from the DCF weigh against it.</w:t>
      </w:r>
    </w:p>
    <w:p>
      <w:r>
        <w:br w:type="page"/>
      </w:r>
    </w:p>
    <w:p>
      <w:pPr>
        <w:pStyle w:val="Heading1"/>
      </w:pPr>
      <w:r>
        <w:rPr>
          <w:color w:val="1F3864"/>
        </w:rPr>
        <w:t>10. Sector Appendix — Mining &amp; Metals (A-MN)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b/>
                <w:color w:val="FFFFFF"/>
                <w:sz w:val="17"/>
              </w:rPr>
              <w:t>Read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AISC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Not sourced precisely — would need the 10-K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P/NAV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Not computable without a disclosed NAV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FCF yield at mid-cycle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4.3% (FY2025) at already-record copper prices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Weak vs the framework's &gt;8% "attractive" bar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Net debt/EBITDA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~0.7x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Conservative</w:t>
            </w:r>
          </w:p>
        </w:tc>
      </w:tr>
    </w:tbl>
    <w:p/>
    <w:p>
      <w:r>
        <w:rPr>
          <w:b w:val="0"/>
          <w:i/>
          <w:sz w:val="20"/>
        </w:rPr>
        <w:t>The framework explicitly warns against valuing a miner on spot EV/EBITDA at peak commodity price — consistent with the DCF/Mauboussin findings above.</w:t>
      </w:r>
    </w:p>
    <w:p>
      <w:r>
        <w:br w:type="page"/>
      </w:r>
    </w:p>
    <w:p>
      <w:pPr>
        <w:pStyle w:val="Heading1"/>
      </w:pPr>
      <w:r>
        <w:rPr>
          <w:color w:val="1F3864"/>
        </w:rPr>
        <w:t>11. Five-Year Ratio Trend Analysis</w:t>
      </w:r>
    </w:p>
    <w:p>
      <w:pPr>
        <w:pStyle w:val="Heading2"/>
      </w:pPr>
      <w:r>
        <w:rPr>
          <w:color w:val="2E5395"/>
        </w:rPr>
        <w:t>Base Ratio Table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3864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440"/>
            <w:shd w:fill="1F3864"/>
          </w:tcPr>
          <w:p>
            <w:r/>
            <w:r>
              <w:rPr>
                <w:b/>
                <w:color w:val="FFFFFF"/>
                <w:sz w:val="17"/>
              </w:rPr>
              <w:t>FY2022</w:t>
            </w:r>
          </w:p>
        </w:tc>
        <w:tc>
          <w:tcPr>
            <w:tcW w:type="dxa" w:w="1440"/>
            <w:shd w:fill="1F3864"/>
          </w:tcPr>
          <w:p>
            <w:r/>
            <w:r>
              <w:rPr>
                <w:b/>
                <w:color w:val="FFFFFF"/>
                <w:sz w:val="17"/>
              </w:rPr>
              <w:t>FY2023</w:t>
            </w:r>
          </w:p>
        </w:tc>
        <w:tc>
          <w:tcPr>
            <w:tcW w:type="dxa" w:w="1440"/>
            <w:shd w:fill="1F3864"/>
          </w:tcPr>
          <w:p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440"/>
            <w:shd w:fill="1F3864"/>
          </w:tcPr>
          <w:p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440"/>
            <w:shd w:fill="1F3864"/>
          </w:tcPr>
          <w:p>
            <w:r/>
            <w:r>
              <w:rPr>
                <w:b/>
                <w:color w:val="FFFFFF"/>
                <w:sz w:val="17"/>
              </w:rPr>
              <w:t>TTM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Revenue ($B)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22.8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22.9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25.5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25.9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25.9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Revenue growth YoY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+0.3%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+11.4%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+1.8%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-0.2%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Gross margin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33.8%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31.3%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30.1%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28.2%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n/a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EBIT margin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30.9%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27.2%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27.0%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25.1%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n/a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Net margin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15.2%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8.1%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7.4%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8.5%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n/a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ROE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22.3%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11.1%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10.7%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11.7%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n/a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ROIC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29.1%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21.7%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22.3%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19.3%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n/a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P/E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14.9x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31.9x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28.3x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32.8x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n/a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EV/EBITDA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5.7x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7.6x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6.4x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9.0x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n/a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P/B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3.3x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3.5x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3.0x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3.8x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n/a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Debt/Equity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0.70x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0.59x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0.55x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0.56x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n/a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FCF margin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7.3%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2.0%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9.2%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4.3%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n/a</w:t>
            </w:r>
          </w:p>
        </w:tc>
      </w:tr>
    </w:tbl>
    <w:p/>
    <w:p>
      <w:pPr>
        <w:pStyle w:val="Heading2"/>
      </w:pPr>
      <w:r>
        <w:rPr>
          <w:color w:val="2E5395"/>
        </w:rPr>
        <w:t>Sector-Specific Ratio Table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3864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728"/>
            <w:shd w:fill="1F3864"/>
          </w:tcPr>
          <w:p>
            <w:r/>
            <w:r>
              <w:rPr>
                <w:b/>
                <w:color w:val="FFFFFF"/>
                <w:sz w:val="17"/>
              </w:rPr>
              <w:t>FY2022</w:t>
            </w:r>
          </w:p>
        </w:tc>
        <w:tc>
          <w:tcPr>
            <w:tcW w:type="dxa" w:w="1728"/>
            <w:shd w:fill="1F3864"/>
          </w:tcPr>
          <w:p>
            <w:r/>
            <w:r>
              <w:rPr>
                <w:b/>
                <w:color w:val="FFFFFF"/>
                <w:sz w:val="17"/>
              </w:rPr>
              <w:t>FY2023</w:t>
            </w:r>
          </w:p>
        </w:tc>
        <w:tc>
          <w:tcPr>
            <w:tcW w:type="dxa" w:w="1728"/>
            <w:shd w:fill="1F3864"/>
          </w:tcPr>
          <w:p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728"/>
            <w:shd w:fill="1F3864"/>
          </w:tcPr>
          <w:p>
            <w:r/>
            <w:r>
              <w:rPr>
                <w:b/>
                <w:color w:val="FFFFFF"/>
                <w:sz w:val="17"/>
              </w:rPr>
              <w:t>FY2025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CapEx / Revenue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15.2%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21.1%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18.9%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17.3%</w:t>
            </w:r>
          </w:p>
        </w:tc>
      </w:tr>
    </w:tbl>
    <w:p/>
    <w:p>
      <w:pPr>
        <w:pStyle w:val="Heading2"/>
      </w:pPr>
      <w:r>
        <w:rPr>
          <w:color w:val="2E5395"/>
        </w:rPr>
        <w:t>Interpretation</w:t>
      </w:r>
    </w:p>
    <w:p>
      <w:r>
        <w:rPr>
          <w:b w:val="0"/>
          <w:i w:val="0"/>
          <w:sz w:val="20"/>
        </w:rPr>
        <w:t>The same signature already seen in WM and RKLB this session: multiples have expanded sharply (P/E 14.9x -&gt; 32.8x, more than doubling; EV/EBITDA 5.7x -&gt; 9.0x) while operating margins compress (30.9% -&gt; 25.1%) and ROIC declines (29.1% -&gt; 19.3%). The market is paying steadily more for operating profitability that is gradually falling — the multiple has decoupled from the fundamental trend, exactly what the DCF already flagged quantitatively.</w:t>
      </w:r>
    </w:p>
    <w:p>
      <w:r>
        <w:br w:type="page"/>
      </w:r>
    </w:p>
    <w:p>
      <w:pPr>
        <w:pStyle w:val="Heading1"/>
      </w:pPr>
      <w:r>
        <w:rPr>
          <w:color w:val="1F3864"/>
        </w:rPr>
        <w:t>12. Final Verdict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3864"/>
          </w:tcPr>
          <w:p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4320"/>
            <w:shd w:fill="1F3864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Ticker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FCX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Track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A-MN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Category (Lynch)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Cyclical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F-Rating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Overvalued (vs internal DCF)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DCF Bear-Base-Bull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$12.92 / $28.19 / $53.38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MoS Gate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Compounder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QUALITY (capped to WATCH by MoS)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AI Impact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Neutral-Tailwind (indirect, via data center copper demand)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Horizon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N/A at this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Thesis Invalidation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Grasberg failing to reach 80% capacity by mid-2027 as guided, or ROIC falling below 15% (a threshold never broken in 4 years)</w:t>
            </w:r>
          </w:p>
        </w:tc>
      </w:tr>
    </w:tbl>
    <w:p/>
    <w:p>
      <w:r>
        <w:rPr>
          <w:b/>
          <w:i w:val="0"/>
          <w:color w:val="1F3864"/>
          <w:sz w:val="24"/>
        </w:rPr>
        <w:t>Summary</w:t>
      </w:r>
    </w:p>
    <w:p>
      <w:r>
        <w:rPr>
          <w:b w:val="0"/>
          <w:i w:val="0"/>
          <w:sz w:val="20"/>
        </w:rPr>
        <w:t>The best operating business of every name analyzed this session — ROIC above 15% in every one of the last four years, the strongest ROIC-WACC spread of the group — but bought at a price that not even the Bull DCF scenario justifies. The real question isn't whether FCX is a good company (it clearly is), it's whether today's price pays for a copper cycle that lasts forever, for a company whose own margins are already declining.</w:t>
      </w:r>
    </w:p>
    <w:p/>
    <w:p>
      <w:r>
        <w:rPr>
          <w:b/>
          <w:i w:val="0"/>
          <w:color w:val="1F3864"/>
          <w:sz w:val="22"/>
        </w:rPr>
        <w:t>What would change the verdict</w:t>
      </w:r>
    </w:p>
    <w:p>
      <w:r>
        <w:rPr>
          <w:b w:val="0"/>
          <w:i w:val="0"/>
          <w:sz w:val="20"/>
        </w:rPr>
        <w:t>Concrete confirmation that Grasberg hits its stated capacity milestones (65% in 2H26, 80% by mid-2027), a price pullback toward the $28-53 range that would bring the MoS Gate into range, or evidence that the margin/ROIC decline has stopped, not just slowed.</w:t>
      </w:r>
    </w:p>
    <w:p/>
    <w:p>
      <w:pPr>
        <w:jc w:val="center"/>
      </w:pPr>
      <w:r>
        <w:rPr>
          <w:color w:val="BFBFBF"/>
        </w:rPr>
        <w:t>─────────────────────────────</w:t>
      </w:r>
    </w:p>
    <w:p>
      <w:r>
        <w:rPr>
          <w:b w:val="0"/>
          <w:i/>
          <w:color w:val="595959"/>
          <w:sz w:val="18"/>
        </w:rPr>
        <w:t>Disclosure: the author holds an existing long position in FCX (110 shares, "copper supercycle" thesis, A-tier conviction in the tracked portfolio) prior to this report. This report does not instruct any action — it is a framework-driven re-underwrite exercise. In my Opinion, this is not financial advice, just my view.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