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rPr>
        <w:t>DRAFT — INTERNAL TEST ONLY — NOT FOR DISTRIBUTION</w:t>
      </w:r>
    </w:p>
    <w:p>
      <w:pPr>
        <w:jc w:val="center"/>
      </w:pPr>
      <w:r>
        <w:rPr>
          <w:i/>
          <w:color w:val="C00000"/>
          <w:sz w:val="18"/>
        </w:rPr>
        <w:t>Producer field is a placeholder in config.py — this cannot be published as-is.</w:t>
      </w:r>
    </w:p>
    <w:p/>
    <w:p>
      <w:pPr>
        <w:pStyle w:val="Heading1"/>
      </w:pPr>
      <w:r>
        <w:t>Weekly Market Outlook — Week of 2026-09-04</w:t>
      </w:r>
    </w:p>
    <w:p>
      <w:r>
        <w:rPr>
          <w:rFonts w:ascii="Consolas" w:hAnsi="Consolas"/>
          <w:sz w:val="18"/>
        </w:rPr>
        <w:t>Producer:      [DRAFT — PRODUCER NOT YET SET] Equity.ie Ltd, &lt;legal address pending in config.py&gt;</w:t>
        <w:br/>
      </w:r>
      <w:r>
        <w:rPr>
          <w:rFonts w:ascii="Consolas" w:hAnsi="Consolas"/>
          <w:sz w:val="18"/>
        </w:rPr>
        <w:t>Author:        Andrea Guida</w:t>
        <w:br/>
      </w:r>
      <w:r>
        <w:rPr>
          <w:rFonts w:ascii="Consolas" w:hAnsi="Consolas"/>
          <w:sz w:val="18"/>
        </w:rPr>
        <w:t>Coverage:      Week of 2026-09-04</w:t>
        <w:br/>
      </w:r>
      <w:r>
        <w:rPr>
          <w:rFonts w:ascii="Consolas" w:hAnsi="Consolas"/>
          <w:sz w:val="18"/>
        </w:rPr>
        <w:t>Regime read:   REFLATION — mid cycle, HIGH confidence</w:t>
        <w:br/>
      </w:r>
      <w:r>
        <w:rPr>
          <w:rFonts w:ascii="Consolas" w:hAnsi="Consolas"/>
          <w:sz w:val="18"/>
        </w:rPr>
        <w:br/>
      </w:r>
      <w:r>
        <w:rPr>
          <w:rFonts w:ascii="Consolas" w:hAnsi="Consolas"/>
          <w:sz w:val="18"/>
        </w:rPr>
        <w:t>Sources:</w:t>
        <w:br/>
      </w:r>
      <w:r>
        <w:rPr>
          <w:rFonts w:ascii="Consolas" w:hAnsi="Consolas"/>
          <w:sz w:val="18"/>
        </w:rPr>
        <w:t xml:space="preserve">  - Trading-Agent sentiment pipeline, generated 2026-09-04 16:08 UTC</w:t>
        <w:br/>
      </w:r>
      <w:r>
        <w:rPr>
          <w:rFonts w:ascii="Consolas" w:hAnsi="Consolas"/>
          <w:sz w:val="18"/>
        </w:rPr>
        <w:t xml:space="preserve">  - Trading-Agent macro regime classifier, generated 2026-09-04 16:38 UTC</w:t>
        <w:br/>
      </w:r>
      <w:r>
        <w:rPr>
          <w:rFonts w:ascii="Consolas" w:hAnsi="Consolas"/>
          <w:sz w:val="18"/>
        </w:rPr>
        <w:t xml:space="preserve">  - Trading-Agent sector rotation scan, generated 2026-09-04 16:38 UTC</w:t>
        <w:br/>
      </w:r>
      <w:r>
        <w:rPr>
          <w:rFonts w:ascii="Consolas" w:hAnsi="Consolas"/>
          <w:sz w:val="18"/>
        </w:rPr>
        <w:t xml:space="preserve">  - CNN Fear &amp; Greed Index</w:t>
        <w:br/>
      </w:r>
      <w:r>
        <w:rPr>
          <w:rFonts w:ascii="Consolas" w:hAnsi="Consolas"/>
          <w:sz w:val="18"/>
        </w:rPr>
        <w:t xml:space="preserve">  - CBOE VIX</w:t>
        <w:br/>
      </w:r>
      <w:r>
        <w:rPr>
          <w:rFonts w:ascii="Consolas" w:hAnsi="Consolas"/>
          <w:sz w:val="18"/>
        </w:rPr>
        <w:br/>
      </w:r>
      <w:r>
        <w:rPr>
          <w:rFonts w:ascii="Consolas" w:hAnsi="Consolas"/>
          <w:sz w:val="18"/>
        </w:rPr>
        <w:t>Positions (every instrument named with a lean below):</w:t>
        <w:br/>
      </w:r>
      <w:r>
        <w:rPr>
          <w:rFonts w:ascii="Consolas" w:hAnsi="Consolas"/>
          <w:sz w:val="18"/>
        </w:rPr>
        <w:t xml:space="preserve">  - "XLE: The author holds no position in XLE as at the date of production."</w:t>
        <w:br/>
      </w:r>
      <w:r>
        <w:rPr>
          <w:rFonts w:ascii="Consolas" w:hAnsi="Consolas"/>
          <w:sz w:val="18"/>
        </w:rPr>
        <w:t xml:space="preserve">  - "XLC: The author holds no position in XLC as at the date of production."</w:t>
        <w:br/>
      </w:r>
      <w:r>
        <w:rPr>
          <w:rFonts w:ascii="Consolas" w:hAnsi="Consolas"/>
          <w:sz w:val="18"/>
        </w:rPr>
        <w:t xml:space="preserve">  - "XLF: The author holds no position in XLF as at the date of production."</w:t>
        <w:br/>
      </w:r>
      <w:r>
        <w:rPr>
          <w:rFonts w:ascii="Consolas" w:hAnsi="Consolas"/>
          <w:sz w:val="18"/>
        </w:rPr>
        <w:t xml:space="preserve">  - "XLB: The author holds no position in XLB as at the date of production."</w:t>
        <w:br/>
      </w:r>
      <w:r>
        <w:rPr>
          <w:rFonts w:ascii="Consolas" w:hAnsi="Consolas"/>
          <w:sz w:val="18"/>
        </w:rPr>
        <w:t xml:space="preserve">  - "XLK: The author holds no position in XLK as at the date of production."</w:t>
        <w:br/>
      </w:r>
      <w:r>
        <w:rPr>
          <w:rFonts w:ascii="Consolas" w:hAnsi="Consolas"/>
          <w:sz w:val="18"/>
        </w:rPr>
        <w:t xml:space="preserve">  - "XLI: The author holds no position in XLI as at the date of production."</w:t>
        <w:br/>
      </w:r>
      <w:r>
        <w:rPr>
          <w:rFonts w:ascii="Consolas" w:hAnsi="Consolas"/>
          <w:sz w:val="18"/>
        </w:rPr>
        <w:t>Issuer relationships: No payment or consideration received from any issuer. No issuer or third party reviewed this publication before dissemination.</w:t>
        <w:br/>
      </w:r>
    </w:p>
    <w:p/>
    <w:p>
      <w:r>
        <w:t>Growth is reading EXPANDING and inflation RISING in this week's classification, combining into a REFLATION regime call at HIGH confidence. The 10-year Treasury yield stands at 4.762%, up 2.92% over one month and 6.37% over three, with the 10Y-3M spread at +1.02% and normal/steepening. The VIX spot of 14.12 sits at the 1.5th percentile of its one-year range — historically compressed — which the classifier's own fragility framework reads as the single flag behind a Minsky score of 1 out of 5. The Dalio cycle read is mid-cycle, described as broadly supportive.</w:t>
      </w:r>
    </w:p>
    <w:p>
      <w:r>
        <w:t>Leadership over the past week has favoured Energy (XLE, +3.7% 5-day, +10.4% one-month) and Financials (XLF, +1.2% 5-day, +12.6% three-month), with Communication Services (XLC, +1.8% 5-day) in between. Laggards over the same window are Materials (XLB, -1.1%), Technology (XLK, -1.4%) and Industrials (XLI, -2.4% 5-day, -6.35% one-month). The pattern in Europe echoes it: Oil &amp; Gas leads at +1.8% 5-day, Construction lags at -4.7% 5-day. Energy and Financials leadership over Technology and Industrials is the classic surface signature of a reflation regime, and lines up with the classifier's own favoured-sector list — Energy, Financials, Materials, Value. Materials itself is the exception: it sits on that favoured list but has not followed it into leadership on a 5-day basis, a gap between the regime's stated preference and this week's realised momentum.</w:t>
      </w:r>
    </w:p>
    <w:p>
      <w:r>
        <w:t>There is a tension in the broader sentiment read worth stating rather than smoothing over. The composite sentiment score rose 13.5 points in under a week to 59.0 ("Mild Risk-On"), while the CNN Fear &amp; Greed Index moved the other way over the same period — down from 52.3 a week ago and 60.0 a month ago to 41.5 ("Fear"). Options positioning (SPY put/call at 1.214) remains on the defensive side of neutral. Underneath both, market breadth has narrowed: large caps sit 8.5–9.3% above their 200-day moving average while small caps (IWM) trade below their 50-day even while still above the 200-day. A composite score rising on trend and price factors while a survey-based fear gauge falls and breadth narrows is not one clean signal — it reads as an index-level reflation price without full participation underneath it.</w:t>
      </w:r>
    </w:p>
    <w:p>
      <w:r>
        <w:t>A reversal in sector leadership — Technology and Industrials reclaiming the top of the 5-day rankings, or the 10Y-3M spread flattening back toward zero — is the condition under which this regime read would need restating, not confirming.</w:t>
      </w:r>
    </w:p>
    <w:p/>
    <w:p>
      <w:r>
        <w:rPr>
          <w:i/>
          <w:color w:val="555555"/>
          <w:sz w:val="16"/>
        </w:rPr>
        <w:t>This publication is general investment research issued exclusively to the public. Every subscriber receives identical content at the same time. It is not a personal recommendation within the meaning of Article 4(1)(4) of Directive 2014/65/EU or Article 9 of Commission Delegated Regulation (EU) 2017/565, is not presented as suitable for any particular person, and takes no account of any reader's objectives, financial situation, knowledge, experience, tax position or needs. Statements of fact are sourced above; all targets, forecasts and ratings are opinion and estimate. The value of investments can fall as well as rise and you may get back less than you invest. Past performance is not a reliable indicator of future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