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8"/>
        </w:rPr>
        <w:t>CONTEMPORARY AMPEREX TECHNOLOGY (CATL)</w:t>
      </w:r>
    </w:p>
    <w:p>
      <w:pPr>
        <w:jc w:val="center"/>
      </w:pPr>
      <w:r>
        <w:rPr>
          <w:color w:val="2E5395"/>
          <w:sz w:val="28"/>
        </w:rPr>
        <w:t>Report Long-Term Conviction — Deep-Dive Mode (Report in Italiano)</w:t>
      </w:r>
    </w:p>
    <w:p>
      <w:pPr>
        <w:jc w:val="center"/>
      </w:pPr>
      <w:r>
        <w:rPr>
          <w:i/>
          <w:color w:val="595959"/>
          <w:sz w:val="20"/>
        </w:rPr>
        <w:t>Ticker: 300750.SZ (A-share)  |  Track: B-RN  |  Prezzo di produzione: ¥337.11  |  Data: 2026-09-15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E7D32"/>
          </w:tcPr>
          <w:p>
            <w:r/>
            <w:r>
              <w:rPr>
                <w:b/>
                <w:color w:val="FFFFFF"/>
                <w:sz w:val="20"/>
              </w:rPr>
              <w:t>VERDETTO</w:t>
            </w:r>
          </w:p>
        </w:tc>
      </w:tr>
      <w:tr>
        <w:tc>
          <w:tcPr>
            <w:tcW w:type="dxa" w:w="8640"/>
            <w:shd w:fill="E8F5E9"/>
          </w:tcPr>
          <w:p>
            <w:r/>
            <w:r>
              <w:rPr>
                <w:b/>
                <w:sz w:val="22"/>
              </w:rPr>
              <w:t>F-Rating: FAIR-TO-UNDERVALUED   |   MoS Gate: NONE/BEAR (dipende dal prezzo esatto)   |   Compounder: QUALITY (vicino a COMPOUNDER)   |   AI Impact: NEUTRAL-TAILWIND</w:t>
            </w:r>
          </w:p>
          <w:p>
            <w:r>
              <w:rPr>
                <w:sz w:val="20"/>
              </w:rPr>
              <w:t>DCF Bear / Base / Bull: ¥321.98 / ¥748.79 / ¥1,597.97 per azione — a ¥337.11 il prezzo è appena sopra il Bear case (+4.7%); a ¥316.36 (dato "corrente" Yahoo) sarebbe sotto il Bear case — il verdetto dipende da quale prezzo è quello vero.</w:t>
            </w:r>
          </w:p>
        </w:tc>
      </w:tr>
    </w:tbl>
    <w:p/>
    <w:p>
      <w:r>
        <w:rPr>
          <w:b w:val="0"/>
          <w:i/>
          <w:color w:val="808080"/>
          <w:sz w:val="18"/>
        </w:rPr>
        <w:t>Questa è un'analisi di conviction long-term personale, prodotta dall'agente long-term-analyst.md (Deep-Dive Mode). Non è una pubblicazione per abbonati e non ha alcun apparato di disclosure MAR/regolamentare — quel binario è separato (publishing/). Ogni cifra è sourced e datata; i DCF sono scenario modelling illustrativo, non una previsione precisa.</w:t>
      </w:r>
    </w:p>
    <w:p>
      <w:r>
        <w:br w:type="page"/>
      </w:r>
    </w:p>
    <w:p>
      <w:pPr>
        <w:pStyle w:val="Heading1"/>
      </w:pPr>
      <w:r>
        <w:rPr>
          <w:color w:val="1F3864"/>
        </w:rPr>
        <w:t>Indice</w:t>
      </w:r>
    </w:p>
    <w:p>
      <w:pPr>
        <w:pStyle w:val="ListBullet"/>
      </w:pPr>
      <w:r>
        <w:rPr>
          <w:sz w:val="20"/>
        </w:rPr>
        <w:t>0. Recent Context — Ultimi Risultati e Notizie</w:t>
      </w:r>
    </w:p>
    <w:p>
      <w:pPr>
        <w:pStyle w:val="ListBullet"/>
      </w:pPr>
      <w:r>
        <w:rPr>
          <w:sz w:val="20"/>
        </w:rPr>
        <w:t>1. Business Overview</w:t>
      </w:r>
    </w:p>
    <w:p>
      <w:pPr>
        <w:pStyle w:val="ListBullet"/>
      </w:pPr>
      <w:r>
        <w:rPr>
          <w:sz w:val="20"/>
        </w:rPr>
        <w:t>2. Routing</w:t>
      </w:r>
    </w:p>
    <w:p>
      <w:pPr>
        <w:pStyle w:val="ListBullet"/>
      </w:pPr>
      <w:r>
        <w:rPr>
          <w:sz w:val="20"/>
        </w:rPr>
        <w:t>3. Categorizzazione (Lynch)</w:t>
      </w:r>
    </w:p>
    <w:p>
      <w:pPr>
        <w:pStyle w:val="ListBullet"/>
      </w:pPr>
      <w:r>
        <w:rPr>
          <w:sz w:val="20"/>
        </w:rPr>
        <w:t>4. Qualità Earnings (Penman)</w:t>
      </w:r>
    </w:p>
    <w:p>
      <w:pPr>
        <w:pStyle w:val="ListBullet"/>
      </w:pPr>
      <w:r>
        <w:rPr>
          <w:sz w:val="20"/>
        </w:rPr>
        <w:t>5. Valutazione — DCF (Koller)</w:t>
      </w:r>
    </w:p>
    <w:p>
      <w:pPr>
        <w:pStyle w:val="ListBullet"/>
      </w:pPr>
      <w:r>
        <w:rPr>
          <w:sz w:val="20"/>
        </w:rPr>
        <w:t>6. Mauboussin — Price-Implied Expectations</w:t>
      </w:r>
    </w:p>
    <w:p>
      <w:pPr>
        <w:pStyle w:val="ListBullet"/>
      </w:pPr>
      <w:r>
        <w:rPr>
          <w:sz w:val="20"/>
        </w:rPr>
        <w:t>7. Fisher — Checklist Qualitativa</w:t>
      </w:r>
    </w:p>
    <w:p>
      <w:pPr>
        <w:pStyle w:val="ListBullet"/>
      </w:pPr>
      <w:r>
        <w:rPr>
          <w:sz w:val="20"/>
        </w:rPr>
        <w:t>8. Ilmanen — Lettura Fattori</w:t>
      </w:r>
    </w:p>
    <w:p>
      <w:pPr>
        <w:pStyle w:val="ListBullet"/>
      </w:pPr>
      <w:r>
        <w:rPr>
          <w:sz w:val="20"/>
        </w:rPr>
        <w:t>9. Quality Compounder Screen</w:t>
      </w:r>
    </w:p>
    <w:p>
      <w:pPr>
        <w:pStyle w:val="ListBullet"/>
      </w:pPr>
      <w:r>
        <w:rPr>
          <w:sz w:val="20"/>
        </w:rPr>
        <w:t>10. Sector Appendix</w:t>
      </w:r>
    </w:p>
    <w:p>
      <w:pPr>
        <w:pStyle w:val="ListBullet"/>
      </w:pPr>
      <w:r>
        <w:rPr>
          <w:sz w:val="20"/>
        </w:rPr>
        <w:t>11. Five-Year Ratio Trend Analysis</w:t>
      </w:r>
    </w:p>
    <w:p>
      <w:pPr>
        <w:pStyle w:val="ListBullet"/>
      </w:pPr>
      <w:r>
        <w:rPr>
          <w:sz w:val="20"/>
        </w:rPr>
        <w:t>12. Verdetto Finale</w:t>
      </w:r>
    </w:p>
    <w:p>
      <w:r>
        <w:br w:type="page"/>
      </w:r>
    </w:p>
    <w:p>
      <w:pPr>
        <w:pStyle w:val="Heading1"/>
      </w:pPr>
      <w:r>
        <w:rPr>
          <w:color w:val="1F3864"/>
        </w:rPr>
        <w:t>0. Recent Context — Ultimi Risultati e Notizie</w:t>
      </w:r>
    </w:p>
    <w:p>
      <w:pPr>
        <w:pStyle w:val="Heading2"/>
      </w:pPr>
      <w:r>
        <w:rPr>
          <w:color w:val="2E5395"/>
        </w:rPr>
        <w:t>Ultima trimestrale (Q2 2026)</w:t>
      </w:r>
    </w:p>
    <w:p>
      <w:pPr>
        <w:pStyle w:val="ListBullet"/>
      </w:pPr>
      <w:r>
        <w:rPr>
          <w:sz w:val="20"/>
        </w:rPr>
        <w:t>Ricavi ¥147.79B, +56.92% YoY (vs ¥94.18B Q2 2025) — finestra trimestrale. Leggermente sotto consensus (¥148.6B attesi).</w:t>
      </w:r>
    </w:p>
    <w:p>
      <w:pPr>
        <w:pStyle w:val="ListBullet"/>
      </w:pPr>
      <w:r>
        <w:rPr>
          <w:sz w:val="20"/>
        </w:rPr>
        <w:t>Utile netto ¥22.5B, +36.5% YoY — anche sotto attese (¥23.4B).</w:t>
      </w:r>
    </w:p>
    <w:p>
      <w:pPr>
        <w:pStyle w:val="ListBullet"/>
      </w:pPr>
      <w:r>
        <w:rPr>
          <w:sz w:val="20"/>
        </w:rPr>
        <w:t>H1 2026 (finestra semestrale): ricavi ¥276.92B (+54.80% YoY), utile netto ¥43.28B (+41.98% YoY).</w:t>
      </w:r>
    </w:p>
    <w:p>
      <w:pPr>
        <w:pStyle w:val="ListBullet"/>
      </w:pPr>
      <w:r>
        <w:rPr>
          <w:sz w:val="20"/>
        </w:rPr>
        <w:t>Causa del miss: domanda EV in Cina in indebolimento, parzialmente compensata dal boom energy storage.</w:t>
      </w:r>
    </w:p>
    <w:p>
      <w:pPr>
        <w:pStyle w:val="ListBullet"/>
      </w:pPr>
      <w:r>
        <w:rPr>
          <w:sz w:val="20"/>
        </w:rPr>
        <w:t>Quota di mercato globale batterie EV: 40.2% (era 38% nel 2024, 36% nel 2023).</w:t>
      </w:r>
    </w:p>
    <w:p>
      <w:pPr>
        <w:pStyle w:val="Heading2"/>
      </w:pPr>
      <w:r>
        <w:rPr>
          <w:color w:val="2E5395"/>
        </w:rPr>
        <w:t>Contesto storico (necessario per capire il pattern volatile)</w:t>
      </w:r>
    </w:p>
    <w:p>
      <w:pPr>
        <w:pStyle w:val="ListBullet"/>
      </w:pPr>
      <w:r>
        <w:rPr>
          <w:sz w:val="20"/>
        </w:rPr>
        <w:t>FY2024: primo calo ricavi mai registrato da CATL — ¥362.0B vs ¥400.9B FY2023 (-9.7% YoY, finestra annuale). Causa: pass-through prezzi litio (materia prima), non calo domanda — le installazioni batterie EV sono salite +47.2% nello stesso anno. Utile netto comunque +15.0%.</w:t>
      </w:r>
    </w:p>
    <w:p>
      <w:pPr>
        <w:pStyle w:val="ListBullet"/>
      </w:pPr>
      <w:r>
        <w:rPr>
          <w:sz w:val="20"/>
        </w:rPr>
        <w:t>FY2025-2026: forte riaccelerazione — ricavi FY2025 ¥423.7B (+17.0% YoY), poi H1 2026 al +54.8% YoY.</w:t>
      </w:r>
    </w:p>
    <w:p>
      <w:pPr>
        <w:pStyle w:val="Heading2"/>
      </w:pPr>
      <w:r>
        <w:rPr>
          <w:color w:val="2E5395"/>
        </w:rPr>
        <w:t>Notizie recenti</w:t>
      </w:r>
    </w:p>
    <w:p>
      <w:pPr>
        <w:pStyle w:val="ListBullet"/>
      </w:pPr>
      <w:r>
        <w:rPr>
          <w:sz w:val="20"/>
        </w:rPr>
        <w:t>Aumento di capitale diluitivo a Hong Kong: 62.4M nuove H-shares a HK$628.20 (sconto 7%) — titolo HK -6.7%/-7.6% all'annuncio. Raccolta: almeno $5B, il più grande collocamento HK del 2026.</w:t>
      </w:r>
    </w:p>
    <w:p>
      <w:pPr>
        <w:pStyle w:val="ListBullet"/>
      </w:pPr>
      <w:r>
        <w:rPr>
          <w:sz w:val="20"/>
        </w:rPr>
        <w:t>H-shares (IPO maggio 2025) +137% da IPO nonostante il calo recente — P/E 30.9x, P/B 6.9x vs A-share P/E 16.9x, P/B 3.8x — divario A/H insolito (di norma le A-share cinesi trattano a premio, qui è il contrario).</w:t>
      </w:r>
    </w:p>
    <w:p>
      <w:pPr>
        <w:pStyle w:val="ListBullet"/>
      </w:pPr>
      <w:r>
        <w:rPr>
          <w:sz w:val="20"/>
        </w:rPr>
        <w:t>Piano dividendi: $2.8B annunciato.</w:t>
      </w:r>
    </w:p>
    <w:p/>
    <w:p>
      <w:r>
        <w:rPr>
          <w:b/>
          <w:sz w:val="20"/>
        </w:rPr>
        <w:t xml:space="preserve">Nota sul prezzo: </w:t>
      </w:r>
      <w:r>
        <w:rPr>
          <w:sz w:val="20"/>
        </w:rPr>
        <w:t>la chiusura confermata più recente (14/9) è ¥337.11; il campo "prezzo corrente" di Yahoo mostra ¥316.36 (vicino al minimo 52 settimane di ¥316.00), con volume del 15/9 quasi raddoppiato (48M vs media ~26M) — possibile ulteriore calo intraday, coerente col sell-off globale su tech/semiconduttori tracciato oggi in questa sessione. Uso ¥337.11 come prezzo di produzione, ma la differenza è rilevante e va verificata.</w:t>
      </w:r>
    </w:p>
    <w:p/>
    <w:p>
      <w:r>
        <w:rPr>
          <w:b w:val="0"/>
          <w:i/>
          <w:color w:val="808080"/>
          <w:sz w:val="17"/>
        </w:rPr>
        <w:t>Fonti: Bloomberg, SCMP, IndexBox, Electrek, TechNode, CNBC, Asiabits (lug-set 2026).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Business Overview</w:t>
      </w:r>
    </w:p>
    <w:p>
      <w:r>
        <w:rPr>
          <w:b w:val="0"/>
          <w:i w:val="0"/>
          <w:sz w:val="20"/>
        </w:rPr>
        <w:t>Segmenti: batterie per veicoli elettrici (power battery, core storico) e sistemi di accumulo energetico (energy storage battery, segmento in più forte crescita oggi). Leader mondiale in entrambi.</w:t>
      </w:r>
    </w:p>
    <w:p>
      <w:r>
        <w:rPr>
          <w:b w:val="0"/>
          <w:i w:val="0"/>
          <w:sz w:val="20"/>
        </w:rPr>
        <w:t>Mercati principali: Cina (base storica, domanda EV in rallentamento) + espansione internazionale (BMW, Tesla, Stellantis tra i clienti noti) + stabilimenti in Europa (Germania, Ungheria). La quotazione H-shares a Hong Kong (2025) finanzia esplicitamente l'espansione overseas.</w:t>
      </w:r>
    </w:p>
    <w:p>
      <w:r>
        <w:rPr>
          <w:b w:val="0"/>
          <w:i/>
          <w:sz w:val="20"/>
        </w:rPr>
        <w:t>TAM: nessuna cifra ufficiale disclosed da CATL trovata — la narrativa "elettrificazione + accumulo energetico" è ampiamente di terze parti.</w:t>
      </w:r>
    </w:p>
    <w:p>
      <w:pPr>
        <w:pStyle w:val="Heading1"/>
      </w:pPr>
      <w:r>
        <w:rPr>
          <w:color w:val="1F3864"/>
        </w:rPr>
        <w:t>2. Routing</w:t>
      </w:r>
    </w:p>
    <w:p>
      <w:r>
        <w:rPr>
          <w:b w:val="0"/>
          <w:i w:val="0"/>
          <w:sz w:val="20"/>
        </w:rPr>
        <w:t>Track B (crescita, metriche settore-specifiche) — nessuna categoria dedicata "batterie EV" nel Sector Appendix; fit più vicino: Renewables &amp; Clean Energy (Track B/C-RN), usato come riferimento parziale insieme a Koller DCF come ancora primaria.</w:t>
      </w:r>
    </w:p>
    <w:p>
      <w:pPr>
        <w:pStyle w:val="Heading1"/>
      </w:pPr>
      <w:r>
        <w:rPr>
          <w:color w:val="1F3864"/>
        </w:rPr>
        <w:t>3. Categorizzazione (Lynch)</w:t>
      </w:r>
    </w:p>
    <w:p>
      <w:r>
        <w:rPr>
          <w:b w:val="0"/>
          <w:i w:val="0"/>
          <w:sz w:val="20"/>
        </w:rPr>
        <w:t>Fast Grower con una parentesi Cyclical — crescita tipicamente 20%+ ma con un anno (FY2024) di calo ricavi da pass-through prezzi materie prime, non da domanda strutturale.</w:t>
      </w:r>
    </w:p>
    <w:p>
      <w:pPr>
        <w:pStyle w:val="Heading1"/>
      </w:pPr>
      <w:r>
        <w:rPr>
          <w:color w:val="1F3864"/>
        </w:rPr>
        <w:t>4. Qualità Earnings (Penman)</w:t>
      </w:r>
    </w:p>
    <w:p>
      <w:pPr>
        <w:pStyle w:val="ListBullet"/>
      </w:pPr>
      <w:r>
        <w:rPr>
          <w:sz w:val="20"/>
        </w:rPr>
        <w:t>ROIC in miglioramento costante da 4 anni: 11.6% -&gt; 13.9% -&gt; 15.2% -&gt; 16.1% (FY2025) — trend opposto a RKLB/WM/FCX (tutti in calo).</w:t>
      </w:r>
    </w:p>
    <w:p>
      <w:pPr>
        <w:pStyle w:val="ListBullet"/>
      </w:pPr>
      <w:r>
        <w:rPr>
          <w:sz w:val="20"/>
        </w:rPr>
        <w:t>FCF/NI eccezionale: 126-134% negli ultimi 3 anni.</w:t>
      </w:r>
    </w:p>
    <w:p>
      <w:pPr>
        <w:pStyle w:val="ListBullet"/>
      </w:pPr>
      <w:r>
        <w:rPr>
          <w:sz w:val="20"/>
        </w:rPr>
        <w:t>Diluizione FY2025: +3.64% — riconducibile direttamente al collocamento H-shares a Hong Kong (causa identificata).</w:t>
      </w:r>
    </w:p>
    <w:p>
      <w:pPr>
        <w:pStyle w:val="ListBullet"/>
      </w:pPr>
      <w:r>
        <w:rPr>
          <w:sz w:val="20"/>
        </w:rPr>
        <w:t>Nessun segnale di accrual inflation.</w:t>
      </w:r>
    </w:p>
    <w:p>
      <w:r>
        <w:br w:type="page"/>
      </w:r>
    </w:p>
    <w:p>
      <w:pPr>
        <w:pStyle w:val="Heading1"/>
      </w:pPr>
      <w:r>
        <w:rPr>
          <w:color w:val="1F3864"/>
        </w:rPr>
        <w:t>5. Valutazione — DCF (Koller)</w:t>
      </w:r>
    </w:p>
    <w:p>
      <w:r>
        <w:rPr>
          <w:b/>
          <w:sz w:val="20"/>
        </w:rPr>
        <w:t xml:space="preserve">Nota metodologica importante: </w:t>
      </w:r>
      <w:r>
        <w:rPr>
          <w:sz w:val="20"/>
        </w:rPr>
        <w:t>il calcolo standard "Invested Capital = Equity + Debito - Cassa" si rompe per un'azienda con cassa così enorme (¥440B) — dava un ROIC assurdo (151%). Ho usato invece l'Invested Capital operativo (¥431.7B, fonte: bilancio), che dà un ROIC sensato (16.1%, coerente con la Sezione 4).</w:t>
      </w:r>
    </w:p>
    <w:p/>
    <w:p>
      <w:pPr>
        <w:pStyle w:val="Heading2"/>
      </w:pPr>
      <w:r>
        <w:rPr>
          <w:color w:val="2E5395"/>
        </w:rPr>
        <w:t>WACC</w:t>
      </w:r>
    </w:p>
    <w:p>
      <w:r>
        <w:rPr>
          <w:b w:val="0"/>
          <w:i w:val="0"/>
          <w:sz w:val="20"/>
        </w:rPr>
        <w:t>Usato il 10Y cinese (1.68%), non l'UST, dato che l'azienda è denominata in CNY.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Valore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Risk-free (10Y Cina)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1.68%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ERP Cina (assunzione — premio più alto di US/EU)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6.0%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Beta (Yahoo, 5Y)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0.434 — sospettosamente basso data la volatilità operativa reale (-9.7% a +56.9% in 18 mesi)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Beta stress-testato (usato nel DCF)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WACC (beta 0.9)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6.70%</w:t>
            </w:r>
          </w:p>
        </w:tc>
      </w:tr>
    </w:tbl>
    <w:p/>
    <w:p>
      <w:r>
        <w:rPr>
          <w:b/>
          <w:i w:val="0"/>
          <w:sz w:val="20"/>
        </w:rPr>
        <w:t>ROIC vs WACC: 16.1% vs 6.70% -&gt; spread +9.35pp — tra i migliori di questa sessione.</w:t>
      </w:r>
    </w:p>
    <w:p/>
    <w:p>
      <w:pPr>
        <w:pStyle w:val="Heading2"/>
      </w:pPr>
      <w:r>
        <w:rPr>
          <w:color w:val="2E5395"/>
        </w:rPr>
        <w:t>Scenari (5 anni espliciti + terminal value, beta 0.9)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Ricavi Y5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Margine NOPLAT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Valore/azione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Bear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¥562B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11%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¥321.98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Base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¥925B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17%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¥748.79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Bull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¥1,362B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22%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¥1,597.97</w:t>
            </w:r>
          </w:p>
        </w:tc>
      </w:tr>
    </w:tbl>
    <w:p/>
    <w:p>
      <w:r>
        <w:rPr>
          <w:b/>
          <w:i w:val="0"/>
          <w:sz w:val="20"/>
        </w:rPr>
        <w:t>Prezzo attuale: ¥337.11 — il primo caso in questa sessione dove il prezzo è vicinissimo al Bear case (+4.7%), non lontanissimo sotto.</w:t>
      </w:r>
    </w:p>
    <w:p/>
    <w:p>
      <w:pPr>
        <w:pStyle w:val="Heading2"/>
      </w:pPr>
      <w:r>
        <w:rPr>
          <w:color w:val="2E5395"/>
        </w:rPr>
        <w:t>MoS Gate: borderline NONE/BEAR — dipende dal prezzo esatto</w:t>
      </w:r>
    </w:p>
    <w:p>
      <w:r>
        <w:rPr>
          <w:b/>
          <w:color w:val="2E7D32"/>
          <w:sz w:val="22"/>
        </w:rPr>
        <w:t>Con ¥337.11: MoS Gate NONE (margine minimo, +4.7% sopra Bear). Con ¥316.36 (se genuino): MoS Gate BEAR, il migliore possibile.</w:t>
      </w:r>
    </w:p>
    <w:p>
      <w:r>
        <w:rPr>
          <w:b w:val="0"/>
          <w:i/>
          <w:sz w:val="20"/>
        </w:rPr>
        <w:t>Red flag onesto sul Bull case: CV% = 101% (arrotondamento, ma sostanzialmente tutto il valore è nel terminal value) — zero valore dai flussi di cassa espliciti, bassissima confidenza su questo scenario.</w:t>
      </w:r>
    </w:p>
    <w:p>
      <w:r>
        <w:br w:type="page"/>
      </w:r>
    </w:p>
    <w:p>
      <w:pPr>
        <w:pStyle w:val="Heading1"/>
      </w:pPr>
      <w:r>
        <w:rPr>
          <w:color w:val="1F3864"/>
        </w:rPr>
        <w:t>6. Mauboussin — Price-Implied Expectations</w:t>
      </w:r>
    </w:p>
    <w:p>
      <w:r>
        <w:rPr>
          <w:b w:val="0"/>
          <w:i w:val="0"/>
          <w:sz w:val="20"/>
        </w:rPr>
        <w:t>Dato il MoS Gate borderline, il prezzo di oggi non sta pagando per uno scenario aggressivo — anzi, sta pagando meno del caso Bear se il prezzo più basso (¥316) è quello reale. Insolito: il mercato potrebbe star scontando eccessivamente il rallentamento della domanda EV in Cina, senza dare credito al boom energy storage che sta già trainando i risultati.</w:t>
      </w:r>
    </w:p>
    <w:p/>
    <w:p>
      <w:pPr>
        <w:pStyle w:val="Heading2"/>
      </w:pPr>
      <w:r>
        <w:rPr>
          <w:color w:val="2E5395"/>
        </w:rPr>
        <w:t>Moat &amp; Competitive Advantage Period (CAP)</w:t>
      </w:r>
    </w:p>
    <w:p>
      <w:r>
        <w:rPr>
          <w:b w:val="0"/>
          <w:i w:val="0"/>
          <w:sz w:val="20"/>
        </w:rPr>
        <w:t>Leadership di mercato 40.2% (in crescita), scala produttiva enorme, relazioni con case auto globali (switching cost reali per un cliente che ha già qualificato le batterie CATL su una piattaforma). Wide moat, CAP 7-15y.</w:t>
      </w:r>
    </w:p>
    <w:p>
      <w:pPr>
        <w:pStyle w:val="Heading1"/>
      </w:pPr>
      <w:r>
        <w:rPr>
          <w:color w:val="1F3864"/>
        </w:rPr>
        <w:t>7. Fisher — Checklist Qualitativa</w:t>
      </w:r>
    </w:p>
    <w:p>
      <w:pPr>
        <w:pStyle w:val="ListBullet"/>
      </w:pPr>
      <w:r>
        <w:rPr>
          <w:sz w:val="20"/>
        </w:rPr>
        <w:t>#1 Mercato in crescita strutturale (elettrificazione + storage)</w:t>
      </w:r>
    </w:p>
    <w:p>
      <w:pPr>
        <w:pStyle w:val="ListBullet"/>
      </w:pPr>
      <w:r>
        <w:rPr>
          <w:sz w:val="20"/>
        </w:rPr>
        <w:t>#5/#6 Margini in espansione netta e costante (lordo 20.3%-&gt;26.3%, EBIT 10.7%-&gt;19.2%)</w:t>
      </w:r>
    </w:p>
    <w:p>
      <w:pPr>
        <w:pStyle w:val="ListBullet"/>
      </w:pPr>
      <w:r>
        <w:rPr>
          <w:sz w:val="20"/>
        </w:rPr>
        <w:t>#13 Diluizione FY2025 (+3.64%) da capital raise — non enorme, da monitorare se si ripete</w:t>
      </w:r>
    </w:p>
    <w:p>
      <w:pPr>
        <w:pStyle w:val="ListBullet"/>
      </w:pPr>
      <w:r>
        <w:rPr>
          <w:sz w:val="20"/>
        </w:rPr>
        <w:t>Nessun segnale di management evasivo o problemi di disclosure nei materiali trovati</w:t>
      </w:r>
    </w:p>
    <w:p>
      <w:r>
        <w:br w:type="page"/>
      </w:r>
    </w:p>
    <w:p>
      <w:pPr>
        <w:pStyle w:val="Heading1"/>
      </w:pPr>
      <w:r>
        <w:rPr>
          <w:color w:val="1F3864"/>
        </w:rPr>
        <w:t>8. Ilmanen — Lettura Fattori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Fattore</w:t>
            </w:r>
          </w:p>
        </w:tc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Lettura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Value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Presente — P/E 16.9x (A-share) su crescita 50%+ è oggettivamente a sconto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Quality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Molto forte — ROIC in salita, FCF/NI &gt;125%, margini in espansione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Momentum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Negativo di recente — titolo vicino ai minimi 52 settimane, -32.5% dal massimo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Low Beta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Presente sulla carta (0.434) ma da non fidarsi ciecamente — vedi nota WACC</w:t>
            </w:r>
          </w:p>
        </w:tc>
      </w:tr>
    </w:tbl>
    <w:p>
      <w:r>
        <w:rPr>
          <w:b w:val="0"/>
          <w:i w:val="0"/>
          <w:sz w:val="20"/>
        </w:rPr>
        <w:t>Tre fattori positivi su quattro (Value+Quality+nominalmente Low Beta) — il profilo più forte visto in questa sessione.</w:t>
      </w:r>
    </w:p>
    <w:p>
      <w:pPr>
        <w:pStyle w:val="Heading1"/>
      </w:pPr>
      <w:r>
        <w:rPr>
          <w:color w:val="1F3864"/>
        </w:rPr>
        <w:t>9. Quality Compounder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7"/>
              </w:rPr>
              <w:t>Evidenza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7"/>
              </w:rPr>
              <w:t>Esito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ROIC 5y &gt;15%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Media 4 anni 14.2%, ma ultimo anno 16.1% e in salita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PARTIAL/PASS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ROIC trend stabile/migliorativo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4 anni consecutivi in salita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Operating margin &gt;15%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19.2% (FY2025), 17.8% (FY2024)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FCF conversion &gt;80%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126-134%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CapEx/Revenue &lt;10%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8.4-14.7%, ultimo anno 10.0% (borderline)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PARTIAL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Crescita auto-finanziata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Sostanzialmente sì, +3.64% dilution isolata (HK raise)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PARTIAL/PASS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Management ownership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Dati insufficienti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UNCERTAIN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Buyback/dividendi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Piano dividendi $2.8B annunciato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M&amp;A discipline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Nessuna M&amp;A rilevante recente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N/A</w:t>
            </w:r>
          </w:p>
        </w:tc>
      </w:tr>
    </w:tbl>
    <w:p/>
    <w:p>
      <w:r>
        <w:rPr>
          <w:b/>
          <w:color w:val="2E7D32"/>
          <w:sz w:val="26"/>
        </w:rPr>
        <w:t>Verdetto: QUALITY, vicino a COMPOUNDER</w:t>
      </w:r>
    </w:p>
    <w:p>
      <w:r>
        <w:rPr>
          <w:b w:val="0"/>
          <w:i w:val="0"/>
          <w:sz w:val="20"/>
        </w:rPr>
        <w:t>5-6 criteri chiari su 9 (soglia 7+ non ancora raggiunta), ma il trend ROIC in salita costante per 4 anni è raro tra tutti i nomi analizzati oggi.</w:t>
      </w:r>
    </w:p>
    <w:p>
      <w:r>
        <w:br w:type="page"/>
      </w:r>
    </w:p>
    <w:p>
      <w:pPr>
        <w:pStyle w:val="Heading1"/>
      </w:pPr>
      <w:r>
        <w:rPr>
          <w:color w:val="1F3864"/>
        </w:rPr>
        <w:t>10. Sector Appendix (riferimento parziale — Renewables &amp; Clean Energy)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7"/>
              </w:rPr>
              <w:t>Metrica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7"/>
              </w:rPr>
              <w:t>Valore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7"/>
              </w:rPr>
              <w:t>Lettura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Quota di mercato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40.2%, in crescita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Segnale di forza — leadership che si consolida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Margine lordo trend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20.3% -&gt; 26.3% in 4 anni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Espansione strutturale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Cassa netta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¥291.2 miliardi, in crescita rapida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Bilancio fortissimo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11. Five-Year Ratio Trend Analysis</w:t>
      </w:r>
    </w:p>
    <w:p>
      <w:pPr>
        <w:pStyle w:val="Heading2"/>
      </w:pPr>
      <w:r>
        <w:rPr>
          <w:color w:val="2E5395"/>
        </w:rPr>
        <w:t>Base Ratio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864"/>
          </w:tcPr>
          <w:p>
            <w:r/>
            <w:r>
              <w:rPr>
                <w:b/>
                <w:color w:val="FFFFFF"/>
                <w:sz w:val="17"/>
              </w:rPr>
              <w:t>Metrica</w:t>
            </w:r>
          </w:p>
        </w:tc>
        <w:tc>
          <w:tcPr>
            <w:tcW w:type="dxa" w:w="1728"/>
            <w:shd w:fill="1F3864"/>
          </w:tcPr>
          <w:p>
            <w:r/>
            <w:r>
              <w:rPr>
                <w:b/>
                <w:color w:val="FFFFFF"/>
                <w:sz w:val="17"/>
              </w:rPr>
              <w:t>FY2022</w:t>
            </w:r>
          </w:p>
        </w:tc>
        <w:tc>
          <w:tcPr>
            <w:tcW w:type="dxa" w:w="1728"/>
            <w:shd w:fill="1F3864"/>
          </w:tcPr>
          <w:p>
            <w:r/>
            <w:r>
              <w:rPr>
                <w:b/>
                <w:color w:val="FFFFFF"/>
                <w:sz w:val="17"/>
              </w:rPr>
              <w:t>FY2023</w:t>
            </w:r>
          </w:p>
        </w:tc>
        <w:tc>
          <w:tcPr>
            <w:tcW w:type="dxa" w:w="1728"/>
            <w:shd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728"/>
            <w:shd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Ricavi (¥B)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328.6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400.9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362.0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423.7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Crescita YoY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+22.0%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-9.7%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+17.0%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Margine lordo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20.3%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19.2%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24.4%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26.3%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Margine EBIT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10.7%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12.9%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17.8%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19.2%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Margine netto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9.4%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11.0%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14.0%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17.0%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ROE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18.7%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22.3%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20.6%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21.4%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ROIC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11.6%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13.9%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15.2%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16.1%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P/E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28.8x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15.1x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22.0x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22.8x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P/B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5.4x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3.4x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4.5x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4.9x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Debt/Equity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0.61x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0.63x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0.55x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0.44x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Cassa netta (¥B)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90.5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139.1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167.1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291.2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FCF/NI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42.3%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134.2%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129.7%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125.9%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CapEx/Ricavi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14.7%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8.4%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8.6%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10.0%</w:t>
            </w:r>
          </w:p>
        </w:tc>
      </w:tr>
    </w:tbl>
    <w:p/>
    <w:p>
      <w:pPr>
        <w:pStyle w:val="Heading2"/>
      </w:pPr>
      <w:r>
        <w:rPr>
          <w:color w:val="2E5395"/>
        </w:rPr>
        <w:t>Interpretazione</w:t>
      </w:r>
    </w:p>
    <w:p>
      <w:r>
        <w:rPr>
          <w:b w:val="0"/>
          <w:i w:val="0"/>
          <w:sz w:val="20"/>
        </w:rPr>
        <w:t>Pattern opposto a tutto il resto analizzato in questa sessione: qui ROIC, margini e qualità cassa migliorano tutti insieme nel tempo, non divergono dal multiplo. Il P/E è sceso da 28.8x a 22.8x nonostante ROIC e margini siano saliti — il mercato sta pagando meno per una qualità operativa crescente, l'esatto contrario della firma "multiplo scollegato dai fondamentali" vista su WM/RKLB/FCX. Il crollo ricavi FY2024 (-9.7%) è già superato e spiegato (pass-through litio, non domanda), con utile netto che non ha mai smesso di crescere nemmeno in quell'anno.</w:t>
      </w:r>
    </w:p>
    <w:p>
      <w:r>
        <w:br w:type="page"/>
      </w:r>
    </w:p>
    <w:p>
      <w:pPr>
        <w:pStyle w:val="Heading1"/>
      </w:pPr>
      <w:r>
        <w:rPr>
          <w:color w:val="1F3864"/>
        </w:rPr>
        <w:t>12. Verdetto Finale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Valore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Ticker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300750.SZ (A-share)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Track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B-RN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Categoria (Lynch)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Fast Grower (con nota Cyclical)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F-Rating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Fair-to-Undervalued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DCF Bear-Base-Bull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¥321.98 / ¥748.79 / ¥1,597.97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MoS Gate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NONE/BEAR (dipende dal prezzo esatto — verificare)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Compounder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QUALITY (vicino a COMPOUNDER)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AI Impact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Neutral-Tailwind (storage/elettrificazione)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Horizon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3-5yr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Thesis Invalidation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ROIC che inverte la tendenza e torna sotto 13%, o un secondo anno di calo ricavi non spiegabile da pass-through prezzi</w:t>
            </w:r>
          </w:p>
        </w:tc>
      </w:tr>
    </w:tbl>
    <w:p/>
    <w:p>
      <w:r>
        <w:rPr>
          <w:b/>
          <w:i w:val="0"/>
          <w:color w:val="1F3864"/>
          <w:sz w:val="24"/>
        </w:rPr>
        <w:t>Sintesi</w:t>
      </w:r>
    </w:p>
    <w:p>
      <w:r>
        <w:rPr>
          <w:b w:val="0"/>
          <w:i w:val="0"/>
          <w:sz w:val="20"/>
        </w:rPr>
        <w:t>Il profilo qualitativo migliore incontrato in questa sessione — ROIC, margini e FCF che migliorano insieme da 4 anni, leader di mercato in crescita, bilancio fortissimo (cassa netta ¥291B) — scambiato a un prezzo che, secondo il DCF, non è lontano dallo scenario peggiore. Il rischio principale non è la qualità del business, è verificare quale sia il vero prezzo di oggi (¥337 vs ¥316) prima di trarre conclusioni definitive sul margine di sicurezza.</w:t>
      </w:r>
    </w:p>
    <w:p/>
    <w:p>
      <w:r>
        <w:rPr>
          <w:b/>
          <w:i w:val="0"/>
          <w:color w:val="1F3864"/>
          <w:sz w:val="22"/>
        </w:rPr>
        <w:t>Cosa cambierebbe il verdetto</w:t>
      </w:r>
    </w:p>
    <w:p>
      <w:r>
        <w:rPr>
          <w:b w:val="0"/>
          <w:i w:val="0"/>
          <w:sz w:val="20"/>
        </w:rPr>
        <w:t>Conferma del prezzo reale di oggi (se ¥316, il caso per COMPOUNDER si rafforza sensibilmente), un secondo trimestre di conferma che l'energy storage compensa la debolezza EV in Cina, o l'assenza di ulteriori aumenti di capitale diluitivi dopo quello di Hong Kong.</w:t>
      </w:r>
    </w:p>
    <w:p/>
    <w:p>
      <w:pPr>
        <w:jc w:val="center"/>
      </w:pPr>
      <w:r>
        <w:rPr>
          <w:color w:val="BFBFBF"/>
        </w:rPr>
        <w:t>─────────────────────────────</w:t>
      </w:r>
    </w:p>
    <w:p>
      <w:r>
        <w:rPr>
          <w:b w:val="0"/>
          <w:i/>
          <w:color w:val="595959"/>
          <w:sz w:val="18"/>
        </w:rPr>
        <w:t>Disclosure: l'autore non detiene posizioni in CATL alla data di produzione. Questo report non istruisce alcuna azione — è un esercizio di analisi guidato dal framework. In mia opinione, non è consulenza finanziaria, solo il mio punto di vista. Nota anche che i dati fondamentali di una A-share cinese hanno meno standardizzazione/copertura rispetto a un titolo USA/EU, quindi verifica i numeri chiave (specialmente il prezzo) con una fonte diretta prima di agire.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