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48"/>
        </w:rPr>
        <w:t>CAIRN HOMES PLC (Euronext Dublin: C5H | LSE: CRN)</w:t>
      </w:r>
    </w:p>
    <w:p>
      <w:pPr>
        <w:jc w:val="center"/>
      </w:pPr>
      <w:r>
        <w:rPr>
          <w:color w:val="2E5395"/>
          <w:sz w:val="28"/>
        </w:rPr>
        <w:t>Long-Term Conviction Report — Deep-Dive Mode</w:t>
      </w:r>
    </w:p>
    <w:p>
      <w:pPr>
        <w:jc w:val="center"/>
      </w:pPr>
      <w:r>
        <w:rPr>
          <w:i/>
          <w:color w:val="595959"/>
          <w:sz w:val="20"/>
        </w:rPr>
        <w:t>Ticker: C5H.IR / CRN.L  |  Track: A-CD (Residential housebuilder)  |  Price at production: €2.64 (Euronext Dublin close, 2 Oct 2026, yfinance)  |  Report date: 4 Oct 2026</w:t>
      </w:r>
    </w:p>
    <w:p/>
    <w:tbl>
      <w:tblPr>
        <w:tblStyle w:val="TableGrid"/>
        <w:tblW w:type="auto" w:w="0"/>
        <w:tblLook w:firstColumn="1" w:firstRow="1" w:lastColumn="0" w:lastRow="0" w:noHBand="0" w:noVBand="1" w:val="04A0"/>
      </w:tblPr>
      <w:tblGrid>
        <w:gridCol w:w="9972"/>
      </w:tblGrid>
      <w:tr>
        <w:tc>
          <w:tcPr>
            <w:tcW w:type="dxa" w:w="9972"/>
            <w:shd w:val="clear" w:color="auto" w:fill="2E7D32"/>
          </w:tcPr>
          <w:p>
            <w:pPr>
              <w:jc w:val="center"/>
            </w:pPr>
            <w:r/>
            <w:r>
              <w:rPr>
                <w:b/>
                <w:color w:val="FFFFFF"/>
                <w:sz w:val="24"/>
              </w:rPr>
              <w:t>VERDICT</w:t>
            </w:r>
          </w:p>
        </w:tc>
      </w:tr>
      <w:tr>
        <w:tc>
          <w:tcPr>
            <w:tcW w:type="dxa" w:w="9972"/>
            <w:shd w:val="clear" w:color="auto" w:fill="E8F5E9"/>
          </w:tcPr>
          <w:p>
            <w:pPr>
              <w:jc w:val="center"/>
            </w:pPr>
            <w:r/>
            <w:r>
              <w:rPr>
                <w:b/>
                <w:sz w:val="22"/>
              </w:rPr>
              <w:t>F-Rating: UNDERVALUED (63, borderline)   |   MoS Gate: BASE   |   Compounder: QUALITY   |   AI Impact: NEUTRAL</w:t>
            </w:r>
          </w:p>
          <w:p>
            <w:pPr>
              <w:jc w:val="center"/>
            </w:pPr>
            <w:r>
              <w:rPr>
                <w:sz w:val="20"/>
              </w:rPr>
              <w:t>DCF Bear / Base / Bull: €2.21 / €3.62 / €4.77 per share vs €2.64 today — price clears the Base case but not the Bear case; cross-checks (8× exit multiple €2.79, P/B–ROE at 14% through-cycle ROE €2.48) say the cushion is thinner than the headline Base implies.</w:t>
            </w:r>
          </w:p>
        </w:tc>
      </w:tr>
    </w:tbl>
    <w:p/>
    <w:p>
      <w:pPr>
        <w:jc w:val="center"/>
      </w:pPr>
      <w:r>
        <w:rPr>
          <w:i/>
          <w:color w:val="808080"/>
          <w:sz w:val="18"/>
        </w:rPr>
        <w:t>In my opinion — personal analysis, not financial advice. DCF values are illustrative scenario modelling built on public data and stated assumptions, not price targets. Yields are quoted gross.</w:t>
      </w:r>
    </w:p>
    <w:p>
      <w:r>
        <w:br w:type="page"/>
      </w:r>
    </w:p>
    <w:p>
      <w:pPr>
        <w:pStyle w:val="Heading1"/>
      </w:pPr>
      <w:r>
        <w:t>Contents</w:t>
      </w:r>
    </w:p>
    <w:p>
      <w:r>
        <w:rPr>
          <w:b w:val="0"/>
          <w:i w:val="0"/>
        </w:rPr>
        <w:t>0. Recent Context — Last Results &amp; News</w:t>
      </w:r>
    </w:p>
    <w:p>
      <w:r>
        <w:rPr>
          <w:b w:val="0"/>
          <w:i w:val="0"/>
        </w:rPr>
        <w:t>1. Business Overview</w:t>
      </w:r>
    </w:p>
    <w:p>
      <w:r>
        <w:rPr>
          <w:b w:val="0"/>
          <w:i w:val="0"/>
        </w:rPr>
        <w:t>2. Routing</w:t>
      </w:r>
    </w:p>
    <w:p>
      <w:r>
        <w:rPr>
          <w:b w:val="0"/>
          <w:i w:val="0"/>
        </w:rPr>
        <w:t>3. Categorization (Lynch)</w:t>
      </w:r>
    </w:p>
    <w:p>
      <w:r>
        <w:rPr>
          <w:b w:val="0"/>
          <w:i w:val="0"/>
        </w:rPr>
        <w:t>4. Earnings Quality (Penman)</w:t>
      </w:r>
    </w:p>
    <w:p>
      <w:r>
        <w:rPr>
          <w:b w:val="0"/>
          <w:i w:val="0"/>
        </w:rPr>
        <w:t>5. Valuation — DCF (Koller)</w:t>
      </w:r>
    </w:p>
    <w:p>
      <w:r>
        <w:rPr>
          <w:b w:val="0"/>
          <w:i w:val="0"/>
        </w:rPr>
        <w:t>6. Mauboussin — Price-Implied Expectations</w:t>
      </w:r>
    </w:p>
    <w:p>
      <w:r>
        <w:rPr>
          <w:b w:val="0"/>
          <w:i w:val="0"/>
        </w:rPr>
        <w:t>7. Fisher — Qualitative Checklist</w:t>
      </w:r>
    </w:p>
    <w:p>
      <w:r>
        <w:rPr>
          <w:b w:val="0"/>
          <w:i w:val="0"/>
        </w:rPr>
        <w:t>8. Ilmanen — Factor Read</w:t>
      </w:r>
    </w:p>
    <w:p>
      <w:r>
        <w:rPr>
          <w:b w:val="0"/>
          <w:i w:val="0"/>
        </w:rPr>
        <w:t>9. Quality Compounder Screen</w:t>
      </w:r>
    </w:p>
    <w:p>
      <w:r>
        <w:rPr>
          <w:b w:val="0"/>
          <w:i w:val="0"/>
        </w:rPr>
        <w:t>10. Sector Appendix — Residential Housebuilder</w:t>
      </w:r>
    </w:p>
    <w:p>
      <w:r>
        <w:rPr>
          <w:b w:val="0"/>
          <w:i w:val="0"/>
        </w:rPr>
        <w:t>11. Five-Year Ratio Trend Analysis</w:t>
      </w:r>
    </w:p>
    <w:p>
      <w:r>
        <w:rPr>
          <w:b w:val="0"/>
          <w:i w:val="0"/>
        </w:rPr>
        <w:t>12. Final Verdict</w:t>
      </w:r>
    </w:p>
    <w:p>
      <w:r>
        <w:rPr>
          <w:b w:val="0"/>
          <w:i w:val="0"/>
        </w:rPr>
        <w:t>13. Investment Checklist Scorecard (86 checks)</w:t>
      </w:r>
    </w:p>
    <w:p>
      <w:pPr>
        <w:pStyle w:val="Heading1"/>
      </w:pPr>
      <w:r>
        <w:t>0. Recent Context — Last Results &amp; News</w:t>
      </w:r>
    </w:p>
    <w:p>
      <w:pPr>
        <w:pStyle w:val="Heading2"/>
      </w:pPr>
      <w:r>
        <w:t>Last reported period: H1 2026 (six months to 30 Jun 2026, reported 2 Sep 2026)</w:t>
      </w:r>
    </w:p>
    <w:p>
      <w:r>
        <w:rPr>
          <w:b w:val="0"/>
          <w:i w:val="0"/>
        </w:rPr>
        <w:t>Cairn reports half-yearly, so the last 'quarter' is a half-year. All comparisons below are H1 2026 vs H1 2025 (YoY) unless labelled otherwise.</w:t>
      </w:r>
    </w:p>
    <w:tbl>
      <w:tblPr>
        <w:tblStyle w:val="TableGrid"/>
        <w:tblW w:type="auto" w:w="0"/>
        <w:tblLook w:firstColumn="1" w:firstRow="1" w:lastColumn="0" w:lastRow="0" w:noHBand="0" w:noVBand="1" w:val="04A0"/>
      </w:tblPr>
      <w:tblGrid>
        <w:gridCol w:w="2493"/>
        <w:gridCol w:w="2493"/>
        <w:gridCol w:w="2493"/>
        <w:gridCol w:w="2493"/>
      </w:tblGrid>
      <w:tr>
        <w:tc>
          <w:tcPr>
            <w:tcW w:type="dxa" w:w="2835"/>
            <w:shd w:val="clear" w:color="auto" w:fill="D9E2F3"/>
          </w:tcPr>
          <w:p>
            <w:r/>
            <w:r>
              <w:rPr>
                <w:b/>
                <w:sz w:val="17"/>
              </w:rPr>
              <w:t>Metric</w:t>
            </w:r>
          </w:p>
        </w:tc>
        <w:tc>
          <w:tcPr>
            <w:tcW w:type="dxa" w:w="1984"/>
            <w:shd w:val="clear" w:color="auto" w:fill="D9E2F3"/>
          </w:tcPr>
          <w:p>
            <w:r/>
            <w:r>
              <w:rPr>
                <w:b/>
                <w:sz w:val="17"/>
              </w:rPr>
              <w:t>H1 2026</w:t>
            </w:r>
          </w:p>
        </w:tc>
        <w:tc>
          <w:tcPr>
            <w:tcW w:type="dxa" w:w="1984"/>
            <w:shd w:val="clear" w:color="auto" w:fill="D9E2F3"/>
          </w:tcPr>
          <w:p>
            <w:r/>
            <w:r>
              <w:rPr>
                <w:b/>
                <w:sz w:val="17"/>
              </w:rPr>
              <w:t>H1 2025</w:t>
            </w:r>
          </w:p>
        </w:tc>
        <w:tc>
          <w:tcPr>
            <w:tcW w:type="dxa" w:w="2835"/>
            <w:shd w:val="clear" w:color="auto" w:fill="D9E2F3"/>
          </w:tcPr>
          <w:p>
            <w:r/>
            <w:r>
              <w:rPr>
                <w:b/>
                <w:sz w:val="17"/>
              </w:rPr>
              <w:t>Change</w:t>
            </w:r>
          </w:p>
        </w:tc>
      </w:tr>
      <w:tr>
        <w:tc>
          <w:tcPr>
            <w:tcW w:type="dxa" w:w="2835"/>
          </w:tcPr>
          <w:p>
            <w:r/>
            <w:r>
              <w:rPr>
                <w:sz w:val="17"/>
              </w:rPr>
              <w:t>Revenue</w:t>
            </w:r>
          </w:p>
        </w:tc>
        <w:tc>
          <w:tcPr>
            <w:tcW w:type="dxa" w:w="1984"/>
          </w:tcPr>
          <w:p>
            <w:r/>
            <w:r>
              <w:rPr>
                <w:sz w:val="17"/>
              </w:rPr>
              <w:t>€455.5m</w:t>
            </w:r>
          </w:p>
        </w:tc>
        <w:tc>
          <w:tcPr>
            <w:tcW w:type="dxa" w:w="1984"/>
          </w:tcPr>
          <w:p>
            <w:r/>
            <w:r>
              <w:rPr>
                <w:sz w:val="17"/>
              </w:rPr>
              <w:t>€284.5m</w:t>
            </w:r>
          </w:p>
        </w:tc>
        <w:tc>
          <w:tcPr>
            <w:tcW w:type="dxa" w:w="2835"/>
          </w:tcPr>
          <w:p>
            <w:r/>
            <w:r>
              <w:rPr>
                <w:sz w:val="17"/>
              </w:rPr>
              <w:t>+60% YoY</w:t>
            </w:r>
          </w:p>
        </w:tc>
      </w:tr>
      <w:tr>
        <w:tc>
          <w:tcPr>
            <w:tcW w:type="dxa" w:w="2835"/>
          </w:tcPr>
          <w:p>
            <w:r/>
            <w:r>
              <w:rPr>
                <w:sz w:val="17"/>
              </w:rPr>
              <w:t>Homes closed</w:t>
            </w:r>
          </w:p>
        </w:tc>
        <w:tc>
          <w:tcPr>
            <w:tcW w:type="dxa" w:w="1984"/>
          </w:tcPr>
          <w:p>
            <w:r/>
            <w:r>
              <w:rPr>
                <w:sz w:val="17"/>
              </w:rPr>
              <w:t>1,139</w:t>
            </w:r>
          </w:p>
        </w:tc>
        <w:tc>
          <w:tcPr>
            <w:tcW w:type="dxa" w:w="1984"/>
          </w:tcPr>
          <w:p>
            <w:r/>
            <w:r>
              <w:rPr>
                <w:sz w:val="17"/>
              </w:rPr>
              <w:t>708</w:t>
            </w:r>
          </w:p>
        </w:tc>
        <w:tc>
          <w:tcPr>
            <w:tcW w:type="dxa" w:w="2835"/>
          </w:tcPr>
          <w:p>
            <w:r/>
            <w:r>
              <w:rPr>
                <w:sz w:val="17"/>
              </w:rPr>
              <w:t>+61% YoY</w:t>
            </w:r>
          </w:p>
        </w:tc>
      </w:tr>
      <w:tr>
        <w:tc>
          <w:tcPr>
            <w:tcW w:type="dxa" w:w="2835"/>
          </w:tcPr>
          <w:p>
            <w:r/>
            <w:r>
              <w:rPr>
                <w:sz w:val="17"/>
              </w:rPr>
              <w:t>Avg selling price (ex-VAT)</w:t>
            </w:r>
          </w:p>
        </w:tc>
        <w:tc>
          <w:tcPr>
            <w:tcW w:type="dxa" w:w="1984"/>
          </w:tcPr>
          <w:p>
            <w:r/>
            <w:r>
              <w:rPr>
                <w:sz w:val="17"/>
              </w:rPr>
              <w:t>€393k</w:t>
            </w:r>
          </w:p>
        </w:tc>
        <w:tc>
          <w:tcPr>
            <w:tcW w:type="dxa" w:w="1984"/>
          </w:tcPr>
          <w:p>
            <w:r/>
            <w:r>
              <w:rPr>
                <w:sz w:val="17"/>
              </w:rPr>
              <w:t>c.€387k</w:t>
            </w:r>
          </w:p>
        </w:tc>
        <w:tc>
          <w:tcPr>
            <w:tcW w:type="dxa" w:w="2835"/>
          </w:tcPr>
          <w:p>
            <w:r/>
            <w:r>
              <w:rPr>
                <w:sz w:val="17"/>
              </w:rPr>
              <w:t>+1.6% YoY</w:t>
            </w:r>
          </w:p>
        </w:tc>
      </w:tr>
      <w:tr>
        <w:tc>
          <w:tcPr>
            <w:tcW w:type="dxa" w:w="2835"/>
          </w:tcPr>
          <w:p>
            <w:r/>
            <w:r>
              <w:rPr>
                <w:sz w:val="17"/>
              </w:rPr>
              <w:t>Gross profit / margin</w:t>
            </w:r>
          </w:p>
        </w:tc>
        <w:tc>
          <w:tcPr>
            <w:tcW w:type="dxa" w:w="1984"/>
          </w:tcPr>
          <w:p>
            <w:r/>
            <w:r>
              <w:rPr>
                <w:sz w:val="17"/>
              </w:rPr>
              <w:t>€96.9m / 21.3%</w:t>
            </w:r>
          </w:p>
        </w:tc>
        <w:tc>
          <w:tcPr>
            <w:tcW w:type="dxa" w:w="1984"/>
          </w:tcPr>
          <w:p>
            <w:r/>
            <w:r>
              <w:rPr>
                <w:sz w:val="17"/>
              </w:rPr>
              <w:t>€63.1m / 22.2%</w:t>
            </w:r>
          </w:p>
        </w:tc>
        <w:tc>
          <w:tcPr>
            <w:tcW w:type="dxa" w:w="2835"/>
          </w:tcPr>
          <w:p>
            <w:r/>
            <w:r>
              <w:rPr>
                <w:sz w:val="17"/>
              </w:rPr>
              <w:t>+54% / −90 bps</w:t>
            </w:r>
          </w:p>
        </w:tc>
      </w:tr>
      <w:tr>
        <w:tc>
          <w:tcPr>
            <w:tcW w:type="dxa" w:w="2835"/>
          </w:tcPr>
          <w:p>
            <w:r/>
            <w:r>
              <w:rPr>
                <w:sz w:val="17"/>
              </w:rPr>
              <w:t>Operating profit / margin</w:t>
            </w:r>
          </w:p>
        </w:tc>
        <w:tc>
          <w:tcPr>
            <w:tcW w:type="dxa" w:w="1984"/>
          </w:tcPr>
          <w:p>
            <w:r/>
            <w:r>
              <w:rPr>
                <w:sz w:val="17"/>
              </w:rPr>
              <w:t>€74.8m / 16.4%</w:t>
            </w:r>
          </w:p>
        </w:tc>
        <w:tc>
          <w:tcPr>
            <w:tcW w:type="dxa" w:w="1984"/>
          </w:tcPr>
          <w:p>
            <w:r/>
            <w:r>
              <w:rPr>
                <w:sz w:val="17"/>
              </w:rPr>
              <w:t>€42.7m / 15.0%</w:t>
            </w:r>
          </w:p>
        </w:tc>
        <w:tc>
          <w:tcPr>
            <w:tcW w:type="dxa" w:w="2835"/>
          </w:tcPr>
          <w:p>
            <w:r/>
            <w:r>
              <w:rPr>
                <w:sz w:val="17"/>
              </w:rPr>
              <w:t>+75% / +140 bps</w:t>
            </w:r>
          </w:p>
        </w:tc>
      </w:tr>
      <w:tr>
        <w:tc>
          <w:tcPr>
            <w:tcW w:type="dxa" w:w="2835"/>
          </w:tcPr>
          <w:p>
            <w:r/>
            <w:r>
              <w:rPr>
                <w:sz w:val="17"/>
              </w:rPr>
              <w:t>Profit after tax</w:t>
            </w:r>
          </w:p>
        </w:tc>
        <w:tc>
          <w:tcPr>
            <w:tcW w:type="dxa" w:w="1984"/>
          </w:tcPr>
          <w:p>
            <w:r/>
            <w:r>
              <w:rPr>
                <w:sz w:val="17"/>
              </w:rPr>
              <w:t>€58.4m</w:t>
            </w:r>
          </w:p>
        </w:tc>
        <w:tc>
          <w:tcPr>
            <w:tcW w:type="dxa" w:w="1984"/>
          </w:tcPr>
          <w:p>
            <w:r/>
            <w:r>
              <w:rPr>
                <w:sz w:val="17"/>
              </w:rPr>
              <w:t>€31.7m</w:t>
            </w:r>
          </w:p>
        </w:tc>
        <w:tc>
          <w:tcPr>
            <w:tcW w:type="dxa" w:w="2835"/>
          </w:tcPr>
          <w:p>
            <w:r/>
            <w:r>
              <w:rPr>
                <w:sz w:val="17"/>
              </w:rPr>
              <w:t>+84% YoY</w:t>
            </w:r>
          </w:p>
        </w:tc>
      </w:tr>
      <w:tr>
        <w:tc>
          <w:tcPr>
            <w:tcW w:type="dxa" w:w="2835"/>
          </w:tcPr>
          <w:p>
            <w:r/>
            <w:r>
              <w:rPr>
                <w:sz w:val="17"/>
              </w:rPr>
              <w:t>Basic EPS</w:t>
            </w:r>
          </w:p>
        </w:tc>
        <w:tc>
          <w:tcPr>
            <w:tcW w:type="dxa" w:w="1984"/>
          </w:tcPr>
          <w:p>
            <w:r/>
            <w:r>
              <w:rPr>
                <w:sz w:val="17"/>
              </w:rPr>
              <w:t>9.3c</w:t>
            </w:r>
          </w:p>
        </w:tc>
        <w:tc>
          <w:tcPr>
            <w:tcW w:type="dxa" w:w="1984"/>
          </w:tcPr>
          <w:p>
            <w:r/>
            <w:r>
              <w:rPr>
                <w:sz w:val="17"/>
              </w:rPr>
              <w:t>5.1c</w:t>
            </w:r>
          </w:p>
        </w:tc>
        <w:tc>
          <w:tcPr>
            <w:tcW w:type="dxa" w:w="2835"/>
          </w:tcPr>
          <w:p>
            <w:r/>
            <w:r>
              <w:rPr>
                <w:sz w:val="17"/>
              </w:rPr>
              <w:t>+82% YoY</w:t>
            </w:r>
          </w:p>
        </w:tc>
      </w:tr>
      <w:tr>
        <w:tc>
          <w:tcPr>
            <w:tcW w:type="dxa" w:w="2835"/>
          </w:tcPr>
          <w:p>
            <w:r/>
            <w:r>
              <w:rPr>
                <w:sz w:val="17"/>
              </w:rPr>
              <w:t>Operating cash flow</w:t>
            </w:r>
          </w:p>
        </w:tc>
        <w:tc>
          <w:tcPr>
            <w:tcW w:type="dxa" w:w="1984"/>
          </w:tcPr>
          <w:p>
            <w:r/>
            <w:r>
              <w:rPr>
                <w:sz w:val="17"/>
              </w:rPr>
              <w:t>+€22.4m</w:t>
            </w:r>
          </w:p>
        </w:tc>
        <w:tc>
          <w:tcPr>
            <w:tcW w:type="dxa" w:w="1984"/>
          </w:tcPr>
          <w:p>
            <w:r/>
            <w:r>
              <w:rPr>
                <w:sz w:val="17"/>
              </w:rPr>
              <w:t>−€118.6m</w:t>
            </w:r>
          </w:p>
        </w:tc>
        <w:tc>
          <w:tcPr>
            <w:tcW w:type="dxa" w:w="2835"/>
          </w:tcPr>
          <w:p>
            <w:r/>
            <w:r>
              <w:rPr>
                <w:sz w:val="17"/>
              </w:rPr>
              <w:t>+€141m swing</w:t>
            </w:r>
          </w:p>
        </w:tc>
      </w:tr>
      <w:tr>
        <w:tc>
          <w:tcPr>
            <w:tcW w:type="dxa" w:w="2835"/>
          </w:tcPr>
          <w:p>
            <w:r/>
            <w:r>
              <w:rPr>
                <w:sz w:val="17"/>
              </w:rPr>
              <w:t>Net debt (period end)</w:t>
            </w:r>
          </w:p>
        </w:tc>
        <w:tc>
          <w:tcPr>
            <w:tcW w:type="dxa" w:w="1984"/>
          </w:tcPr>
          <w:p>
            <w:r/>
            <w:r>
              <w:rPr>
                <w:sz w:val="17"/>
              </w:rPr>
              <w:t>€194.5m</w:t>
            </w:r>
          </w:p>
        </w:tc>
        <w:tc>
          <w:tcPr>
            <w:tcW w:type="dxa" w:w="1984"/>
          </w:tcPr>
          <w:p>
            <w:r/>
            <w:r>
              <w:rPr>
                <w:sz w:val="17"/>
              </w:rPr>
              <w:t>€307.4m</w:t>
            </w:r>
          </w:p>
        </w:tc>
        <w:tc>
          <w:tcPr>
            <w:tcW w:type="dxa" w:w="2835"/>
          </w:tcPr>
          <w:p>
            <w:r/>
            <w:r>
              <w:rPr>
                <w:sz w:val="17"/>
              </w:rPr>
              <w:t>−€112.9m YoY (vs €171.3m at Dec-25: +€23.2m in six months)</w:t>
            </w:r>
          </w:p>
        </w:tc>
      </w:tr>
      <w:tr>
        <w:tc>
          <w:tcPr>
            <w:tcW w:type="dxa" w:w="2835"/>
          </w:tcPr>
          <w:p>
            <w:r/>
            <w:r>
              <w:rPr>
                <w:sz w:val="17"/>
              </w:rPr>
              <w:t>Interim DPS</w:t>
            </w:r>
          </w:p>
        </w:tc>
        <w:tc>
          <w:tcPr>
            <w:tcW w:type="dxa" w:w="1984"/>
          </w:tcPr>
          <w:p>
            <w:r/>
            <w:r>
              <w:rPr>
                <w:sz w:val="17"/>
              </w:rPr>
              <w:t>4.5c</w:t>
            </w:r>
          </w:p>
        </w:tc>
        <w:tc>
          <w:tcPr>
            <w:tcW w:type="dxa" w:w="1984"/>
          </w:tcPr>
          <w:p>
            <w:r/>
            <w:r>
              <w:rPr>
                <w:sz w:val="17"/>
              </w:rPr>
              <w:t>4.1c</w:t>
            </w:r>
          </w:p>
        </w:tc>
        <w:tc>
          <w:tcPr>
            <w:tcW w:type="dxa" w:w="2835"/>
          </w:tcPr>
          <w:p>
            <w:r/>
            <w:r>
              <w:rPr>
                <w:sz w:val="17"/>
              </w:rPr>
              <w:t>+10% YoY</w:t>
            </w:r>
          </w:p>
        </w:tc>
      </w:tr>
    </w:tbl>
    <w:p/>
    <w:p>
      <w:r>
        <w:rPr>
          <w:b w:val="0"/>
          <w:i w:val="0"/>
        </w:rPr>
        <w:t>Guidance (raised for the second time in 2026):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701"/>
            <w:shd w:val="clear" w:color="auto" w:fill="D9E2F3"/>
          </w:tcPr>
          <w:p>
            <w:r/>
            <w:r>
              <w:rPr>
                <w:b/>
                <w:sz w:val="17"/>
              </w:rPr>
              <w:t>FY2026 item</w:t>
            </w:r>
          </w:p>
        </w:tc>
        <w:tc>
          <w:tcPr>
            <w:tcW w:type="dxa" w:w="2041"/>
            <w:shd w:val="clear" w:color="auto" w:fill="D9E2F3"/>
          </w:tcPr>
          <w:p>
            <w:r/>
            <w:r>
              <w:rPr>
                <w:b/>
                <w:sz w:val="17"/>
              </w:rPr>
              <w:t>Current guide (2 Sep 2026)</w:t>
            </w:r>
          </w:p>
        </w:tc>
        <w:tc>
          <w:tcPr>
            <w:tcW w:type="dxa" w:w="1701"/>
            <w:shd w:val="clear" w:color="auto" w:fill="D9E2F3"/>
          </w:tcPr>
          <w:p>
            <w:r/>
            <w:r>
              <w:rPr>
                <w:b/>
                <w:sz w:val="17"/>
              </w:rPr>
              <w:t>Prior guide (Mar 2026)</w:t>
            </w:r>
          </w:p>
        </w:tc>
        <w:tc>
          <w:tcPr>
            <w:tcW w:type="dxa" w:w="1701"/>
            <w:shd w:val="clear" w:color="auto" w:fill="D9E2F3"/>
          </w:tcPr>
          <w:p>
            <w:r/>
            <w:r>
              <w:rPr>
                <w:b/>
                <w:sz w:val="17"/>
              </w:rPr>
              <w:t>FY2025 actual</w:t>
            </w:r>
          </w:p>
        </w:tc>
        <w:tc>
          <w:tcPr>
            <w:tcW w:type="dxa" w:w="1928"/>
            <w:shd w:val="clear" w:color="auto" w:fill="D9E2F3"/>
          </w:tcPr>
          <w:p>
            <w:r/>
            <w:r>
              <w:rPr>
                <w:b/>
                <w:sz w:val="17"/>
              </w:rPr>
              <w:t>Implied change vs FY25</w:t>
            </w:r>
          </w:p>
        </w:tc>
      </w:tr>
      <w:tr>
        <w:tc>
          <w:tcPr>
            <w:tcW w:type="dxa" w:w="1701"/>
          </w:tcPr>
          <w:p>
            <w:r/>
            <w:r>
              <w:rPr>
                <w:sz w:val="17"/>
              </w:rPr>
              <w:t>Revenue</w:t>
            </w:r>
          </w:p>
        </w:tc>
        <w:tc>
          <w:tcPr>
            <w:tcW w:type="dxa" w:w="2041"/>
          </w:tcPr>
          <w:p>
            <w:r/>
            <w:r>
              <w:rPr>
                <w:sz w:val="17"/>
              </w:rPr>
              <w:t>c.€1.08bn</w:t>
            </w:r>
          </w:p>
        </w:tc>
        <w:tc>
          <w:tcPr>
            <w:tcW w:type="dxa" w:w="1701"/>
          </w:tcPr>
          <w:p>
            <w:r/>
            <w:r>
              <w:rPr>
                <w:sz w:val="17"/>
              </w:rPr>
              <w:t>€1.05–1.08bn</w:t>
            </w:r>
          </w:p>
        </w:tc>
        <w:tc>
          <w:tcPr>
            <w:tcW w:type="dxa" w:w="1701"/>
          </w:tcPr>
          <w:p>
            <w:r/>
            <w:r>
              <w:rPr>
                <w:sz w:val="17"/>
              </w:rPr>
              <w:t>€944.6m</w:t>
            </w:r>
          </w:p>
        </w:tc>
        <w:tc>
          <w:tcPr>
            <w:tcW w:type="dxa" w:w="1928"/>
          </w:tcPr>
          <w:p>
            <w:r/>
            <w:r>
              <w:rPr>
                <w:sz w:val="17"/>
              </w:rPr>
              <w:t>+14% YoY</w:t>
            </w:r>
          </w:p>
        </w:tc>
      </w:tr>
      <w:tr>
        <w:tc>
          <w:tcPr>
            <w:tcW w:type="dxa" w:w="1701"/>
          </w:tcPr>
          <w:p>
            <w:r/>
            <w:r>
              <w:rPr>
                <w:sz w:val="17"/>
              </w:rPr>
              <w:t>Operating profit</w:t>
            </w:r>
          </w:p>
        </w:tc>
        <w:tc>
          <w:tcPr>
            <w:tcW w:type="dxa" w:w="2041"/>
          </w:tcPr>
          <w:p>
            <w:r/>
            <w:r>
              <w:rPr>
                <w:sz w:val="17"/>
              </w:rPr>
              <w:t>c.€185m</w:t>
            </w:r>
          </w:p>
        </w:tc>
        <w:tc>
          <w:tcPr>
            <w:tcW w:type="dxa" w:w="1701"/>
          </w:tcPr>
          <w:p>
            <w:r/>
            <w:r>
              <w:rPr>
                <w:sz w:val="17"/>
              </w:rPr>
              <w:t>€180–185m</w:t>
            </w:r>
          </w:p>
        </w:tc>
        <w:tc>
          <w:tcPr>
            <w:tcW w:type="dxa" w:w="1701"/>
          </w:tcPr>
          <w:p>
            <w:r/>
            <w:r>
              <w:rPr>
                <w:sz w:val="17"/>
              </w:rPr>
              <w:t>€168.6m</w:t>
            </w:r>
          </w:p>
        </w:tc>
        <w:tc>
          <w:tcPr>
            <w:tcW w:type="dxa" w:w="1928"/>
          </w:tcPr>
          <w:p>
            <w:r/>
            <w:r>
              <w:rPr>
                <w:sz w:val="17"/>
              </w:rPr>
              <w:t>+10% YoY</w:t>
            </w:r>
          </w:p>
        </w:tc>
      </w:tr>
      <w:tr>
        <w:tc>
          <w:tcPr>
            <w:tcW w:type="dxa" w:w="1701"/>
          </w:tcPr>
          <w:p>
            <w:r/>
            <w:r>
              <w:rPr>
                <w:sz w:val="17"/>
              </w:rPr>
              <w:t>ROE</w:t>
            </w:r>
          </w:p>
        </w:tc>
        <w:tc>
          <w:tcPr>
            <w:tcW w:type="dxa" w:w="2041"/>
          </w:tcPr>
          <w:p>
            <w:r/>
            <w:r>
              <w:rPr>
                <w:sz w:val="17"/>
              </w:rPr>
              <w:t>c.17.0%</w:t>
            </w:r>
          </w:p>
        </w:tc>
        <w:tc>
          <w:tcPr>
            <w:tcW w:type="dxa" w:w="1701"/>
          </w:tcPr>
          <w:p>
            <w:r/>
            <w:r>
              <w:rPr>
                <w:sz w:val="17"/>
              </w:rPr>
              <w:t>c.16.5%</w:t>
            </w:r>
          </w:p>
        </w:tc>
        <w:tc>
          <w:tcPr>
            <w:tcW w:type="dxa" w:w="1701"/>
          </w:tcPr>
          <w:p>
            <w:r/>
            <w:r>
              <w:rPr>
                <w:sz w:val="17"/>
              </w:rPr>
              <w:t>c.17% (company basis)</w:t>
            </w:r>
          </w:p>
        </w:tc>
        <w:tc>
          <w:tcPr>
            <w:tcW w:type="dxa" w:w="1928"/>
          </w:tcPr>
          <w:p>
            <w:r/>
            <w:r>
              <w:rPr>
                <w:sz w:val="17"/>
              </w:rPr>
              <w:t>flat to +</w:t>
            </w:r>
          </w:p>
        </w:tc>
      </w:tr>
      <w:tr>
        <w:tc>
          <w:tcPr>
            <w:tcW w:type="dxa" w:w="1701"/>
          </w:tcPr>
          <w:p>
            <w:r/>
            <w:r>
              <w:rPr>
                <w:sz w:val="17"/>
              </w:rPr>
              <w:t>Homes delivered</w:t>
            </w:r>
          </w:p>
        </w:tc>
        <w:tc>
          <w:tcPr>
            <w:tcW w:type="dxa" w:w="2041"/>
          </w:tcPr>
          <w:p>
            <w:r/>
            <w:r>
              <w:rPr>
                <w:sz w:val="17"/>
              </w:rPr>
              <w:t>c.2,800</w:t>
            </w:r>
          </w:p>
        </w:tc>
        <w:tc>
          <w:tcPr>
            <w:tcW w:type="dxa" w:w="1701"/>
          </w:tcPr>
          <w:p>
            <w:r/>
            <w:r>
              <w:rPr>
                <w:sz w:val="17"/>
              </w:rPr>
              <w:t>—</w:t>
            </w:r>
          </w:p>
        </w:tc>
        <w:tc>
          <w:tcPr>
            <w:tcW w:type="dxa" w:w="1701"/>
          </w:tcPr>
          <w:p>
            <w:r/>
            <w:r>
              <w:rPr>
                <w:sz w:val="17"/>
              </w:rPr>
              <w:t>2,365</w:t>
            </w:r>
          </w:p>
        </w:tc>
        <w:tc>
          <w:tcPr>
            <w:tcW w:type="dxa" w:w="1928"/>
          </w:tcPr>
          <w:p>
            <w:r/>
            <w:r>
              <w:rPr>
                <w:sz w:val="17"/>
              </w:rPr>
              <w:t>+18% YoY</w:t>
            </w:r>
          </w:p>
        </w:tc>
      </w:tr>
      <w:tr>
        <w:tc>
          <w:tcPr>
            <w:tcW w:type="dxa" w:w="1701"/>
          </w:tcPr>
          <w:p>
            <w:r/>
            <w:r>
              <w:rPr>
                <w:sz w:val="17"/>
              </w:rPr>
              <w:t>FY2027 homes</w:t>
            </w:r>
          </w:p>
        </w:tc>
        <w:tc>
          <w:tcPr>
            <w:tcW w:type="dxa" w:w="2041"/>
          </w:tcPr>
          <w:p>
            <w:r/>
            <w:r>
              <w:rPr>
                <w:sz w:val="17"/>
              </w:rPr>
              <w:t>c.3,200</w:t>
            </w:r>
          </w:p>
        </w:tc>
        <w:tc>
          <w:tcPr>
            <w:tcW w:type="dxa" w:w="1701"/>
          </w:tcPr>
          <w:p>
            <w:r/>
            <w:r>
              <w:rPr>
                <w:sz w:val="17"/>
              </w:rPr>
              <w:t>c.3,200</w:t>
            </w:r>
          </w:p>
        </w:tc>
        <w:tc>
          <w:tcPr>
            <w:tcW w:type="dxa" w:w="1701"/>
          </w:tcPr>
          <w:p>
            <w:r/>
            <w:r>
              <w:rPr>
                <w:sz w:val="17"/>
              </w:rPr>
              <w:t>—</w:t>
            </w:r>
          </w:p>
        </w:tc>
        <w:tc>
          <w:tcPr>
            <w:tcW w:type="dxa" w:w="1928"/>
          </w:tcPr>
          <w:p>
            <w:r/>
            <w:r>
              <w:rPr>
                <w:sz w:val="17"/>
              </w:rPr>
              <w:t>+14% vs FY26 guide</w:t>
            </w:r>
          </w:p>
        </w:tc>
      </w:tr>
    </w:tbl>
    <w:p/>
    <w:p>
      <w:r>
        <w:rPr>
          <w:b w:val="0"/>
          <w:i w:val="0"/>
        </w:rPr>
        <w:t>Most important operational metric for a housebuilder — forward sales visibility and sales rate. Closed + forward order book: 5,020 units / €1.89bn (of which forward 3,881 units / €1.44bn, visibility into 2028); the FY2025 results quoted a €1.32bn multi-year order book (different basis, not directly comparable). Private sales rate 3.7 homes per selling site per week across ~30 active sites. Build cost inflation guided c.2.5% for FY26 with c.95% of 2026 and c.50% of 2027 costs procured. Management attributed the 90 bps gross-margin dip to transport costs, not materials, and said net land investment of the last 24 months is not expected to recur.</w:t>
      </w:r>
    </w:p>
    <w:p>
      <w:pPr>
        <w:pStyle w:val="Heading2"/>
      </w:pPr>
      <w:r>
        <w:t>Recent news (trailing ~90 days)</w:t>
      </w:r>
    </w:p>
    <w:p>
      <w:pPr>
        <w:pStyle w:val="ListBullet"/>
      </w:pPr>
      <w:r>
        <w:t>2 Sep 2026: new €50m share buyback (≈3.1% of market cap at €2.64) began; daily purchases of ~150k shares through Goodbody (e.g. 17 Sep). A €45m programme completed in FY24.</w:t>
      </w:r>
    </w:p>
    <w:p>
      <w:pPr>
        <w:pStyle w:val="ListBullet"/>
      </w:pPr>
      <w:r>
        <w:t>Board: Alan Ralph appointed independent NED (1 Jul 2026); Pat Farrell appointed independent NED (effective 1 Oct 2026). No executive changes.</w:t>
      </w:r>
    </w:p>
    <w:p>
      <w:pPr>
        <w:pStyle w:val="ListBullet"/>
      </w:pPr>
      <w:r>
        <w:t>Interim dividend 4.5c (€28.3m) payable 2 Nov 2026; final FY25 DPS 5.9c paid May 2026 (€36.8m). Trailing DPS 10.4c → 3.9% gross yield.</w:t>
      </w:r>
    </w:p>
    <w:p>
      <w:pPr>
        <w:pStyle w:val="ListBullet"/>
      </w:pPr>
      <w:r>
        <w:t>Macro, which matters more than usual here: the ECB has raised rates twice in 2026 (June +25 bps to a 2.25% deposit rate, then a further +25 bps in September). Euro-area inflation is 3.8%. The 10Y Bund is c.3.45% (2 Oct, after a 17-year high) and the Irish 10Y c.3.62%. Markets price one more hike by December. Irish fixed mortgage rates are c.3.1%–4%+.</w:t>
      </w:r>
    </w:p>
    <w:p>
      <w:pPr>
        <w:pStyle w:val="ListBullet"/>
      </w:pPr>
      <w:r>
        <w:t>Irish market: H1 2026 industry completions 16,679 (+11% YoY); 2026 forecast c.40,000 (Bank of Ireland, up from 37,500). First-time buyer drawdowns in H1 2026 reached €4.1bn (+10.5% YoY, a series record). Bank of Ireland sees 2026 house prices up c.4%.</w:t>
      </w:r>
    </w:p>
    <w:p>
      <w:pPr>
        <w:pStyle w:val="ListBullet"/>
      </w:pPr>
      <w:r>
        <w:t>Policy catalyst: Budget 2027 will be delivered Tuesday 6 Oct 2026. The housing minister is pushing to lift Help-to-Buy from €30k to €50k, but the Finance Minister is reportedly opposed. Stamp duty for first-time buyers is ruled out as a change.</w:t>
      </w:r>
    </w:p>
    <w:p>
      <w:pPr>
        <w:pStyle w:val="ListBullet"/>
      </w:pPr>
      <w:r>
        <w:t>Peer: Glenveagh (H1 2026) reported 100% of 2026 units sold and kept guidance of EPS up to €0.21. It trades at a TTM P/E of c.9.7× and P/B of c.1.26× (Aug–Sep 2026 data).</w:t>
      </w:r>
    </w:p>
    <w:p>
      <w:pPr>
        <w:pStyle w:val="ListBullet"/>
      </w:pPr>
      <w:r>
        <w:t>Analysts: yfinance shows 3 analysts with a mean target of €3.09 and a 'strong buy' consensus. Not independently verified per broker.</w:t>
      </w:r>
    </w:p>
    <w:p>
      <w:pPr>
        <w:pStyle w:val="Heading2"/>
      </w:pPr>
      <w:r>
        <w:t>Sources</w:t>
      </w:r>
    </w:p>
    <w:p>
      <w:pPr>
        <w:pStyle w:val="ListBullet"/>
      </w:pPr>
      <w:r>
        <w:t>Cairn Homes plc 2026 Interim Results (Investegate, 2 Sep 2026)</w:t>
      </w:r>
    </w:p>
    <w:p>
      <w:pPr>
        <w:pStyle w:val="ListBullet"/>
      </w:pPr>
      <w:r>
        <w:t>Cairn Homes H1 2026 earnings call highlights (Yahoo Finance)</w:t>
      </w:r>
    </w:p>
    <w:p>
      <w:pPr>
        <w:pStyle w:val="ListBullet"/>
      </w:pPr>
      <w:r>
        <w:t>Cairn FY2025 results coverage (AJ Bell, Hargreaves Lansdown); FY2023/FY2021 prelims (cairnhomes.com, Business Post)</w:t>
      </w:r>
    </w:p>
    <w:p>
      <w:pPr>
        <w:pStyle w:val="ListBullet"/>
      </w:pPr>
      <w:r>
        <w:t>ECB hikes: RTÉ (10 Sep 2026), Irish Times (9 Sep 2026); Bund yield: Trading Economics (2 Oct 2026); Irish 10Y: Investing.com</w:t>
      </w:r>
    </w:p>
    <w:p>
      <w:pPr>
        <w:pStyle w:val="ListBullet"/>
      </w:pPr>
      <w:r>
        <w:t>Bank of Ireland housing outlook (27 May 2026); Budget 2027 coverage (Irish Examiner, Irish Times, Sep 2026)</w:t>
      </w:r>
    </w:p>
    <w:p>
      <w:pPr>
        <w:pStyle w:val="ListBullet"/>
      </w:pPr>
      <w:r>
        <w:t>LTIP/governance: cairnhomes.com 2024 LTIP targets; EGM result Aug 2023; Business Post</w:t>
      </w:r>
    </w:p>
    <w:p>
      <w:pPr>
        <w:pStyle w:val="ListBullet"/>
      </w:pPr>
      <w:r>
        <w:t>Market data, financial statements, holders: yfinance (C5H.IR), pulled 4 Oct 2026</w:t>
      </w:r>
    </w:p>
    <w:p>
      <w:pPr>
        <w:pStyle w:val="Heading1"/>
      </w:pPr>
      <w:r>
        <w:t>1. Business Overview</w:t>
      </w:r>
    </w:p>
    <w:p>
      <w:pPr>
        <w:pStyle w:val="Heading2"/>
      </w:pPr>
      <w:r>
        <w:t>Business segments</w:t>
      </w:r>
    </w:p>
    <w:p>
      <w:r>
        <w:rPr>
          <w:b w:val="0"/>
          <w:i w:val="0"/>
        </w:rPr>
        <w:t>Single reporting segment: residential development in Ireland. Cairn buys land, gets planning permission, designs, and runs construction through multi-year packages awarded to its supply chain. It then sells homes through three channels (the split is not disclosed as a percentage):</w:t>
      </w:r>
    </w:p>
    <w:p>
      <w:pPr>
        <w:pStyle w:val="ListBullet"/>
      </w:pPr>
      <w:r>
        <w:t>Private owner-occupiers, mostly first-time buyers. Management targets 60% of owner-occupier homes priced under the €500k First Home / Help-to-Buy caps.</w:t>
      </w:r>
    </w:p>
    <w:p>
      <w:pPr>
        <w:pStyle w:val="ListBullet"/>
      </w:pPr>
      <w:r>
        <w:t>State partners: local authorities, Approved Housing Bodies (AHBs) and the Land Development Agency (LDA). These are often forward-funded for social and cost-rental homes; 5 forward-fund projects were live at H1 2026.</w:t>
      </w:r>
    </w:p>
    <w:p>
      <w:pPr>
        <w:pStyle w:val="ListBullet"/>
      </w:pPr>
      <w:r>
        <w:t>Urban apartments: sold to owner-occupiers under the Croí Cónaithe Cities scheme (350+ agreed, including 200+ at Exchange Square), and potentially to institutional investors after the 2026 rent and apartment-regulation changes.</w:t>
      </w:r>
    </w:p>
    <w:p>
      <w:pPr>
        <w:pStyle w:val="Heading2"/>
      </w:pPr>
      <w:r>
        <w:t>Principal markets</w:t>
      </w:r>
    </w:p>
    <w:p>
      <w:r>
        <w:rPr>
          <w:b w:val="0"/>
          <w:i w:val="0"/>
        </w:rPr>
        <w:t>100% Ireland, concentrated in the Greater Dublin Area and commuter belt. The main listed peer is Glenveagh Properties; most of the market is fragmented among private builders. Indirect competitors are the second-hand market and state direct delivery through the LDA. Cairn's share is about 2,800 / 40,000 ≈ 7% of 2026 forecast national completions, which makes it one of the two largest builders.</w:t>
      </w:r>
    </w:p>
    <w:p>
      <w:pPr>
        <w:pStyle w:val="Heading2"/>
      </w:pPr>
      <w:r>
        <w:t>TAM</w:t>
      </w:r>
    </w:p>
    <w:p>
      <w:r>
        <w:rPr>
          <w:b w:val="0"/>
          <w:i w:val="0"/>
        </w:rPr>
        <w:t>The company gives no TAM figure. My estimate, with the method stated: 2026 forecast completions of c.40,000 (Bank of Ireland/industry average) × an average new-home value of c.€400k (Cairn's ASP is €393k ex-VAT) ≈ €16bn a year of new-home sales value. Structural need is higher: the Government targets 300,000 homes by 2030, about 50k a year. Cairn's penetration is €1.08bn / €16bn ≈ 6.8% by value (FY26 guide). This estimate ignores land sales and the build-to-rent investment market.</w:t>
      </w:r>
    </w:p>
    <w:p>
      <w:pPr>
        <w:pStyle w:val="Heading1"/>
      </w:pPr>
      <w:r>
        <w:t>2. Routing</w:t>
      </w:r>
    </w:p>
    <w:p>
      <w:r>
        <w:rPr>
          <w:b w:val="0"/>
          <w:i w:val="0"/>
        </w:rPr>
        <w:t>A-CD — Track A (traditional, asset-backed, steady earnings), Consumer Discretionary / residential construction. The Sector Appendix has no housebuilder entry, so I use the CD table plus the Industrials 'building materials' sub-sector notes, with housebuilder-specific metrics added in Step 10 (land bank years, order-book cover, P/B vs ROE). The primary anchor is the Koller DCF, cross-checked with P/B–ROE and peer multiples.</w:t>
      </w:r>
    </w:p>
    <w:p>
      <w:pPr>
        <w:pStyle w:val="Heading1"/>
      </w:pPr>
      <w:r>
        <w:t>3. Categorization (Lynch)</w:t>
      </w:r>
    </w:p>
    <w:p>
      <w:r>
        <w:rPr>
          <w:b w:val="0"/>
          <w:i w:val="0"/>
        </w:rPr>
        <w:t>CYCLICAL, currently in a fast-growing volume phase. Housebuilding is a textbook Lynch cyclical: earnings depend on credit conditions, mortgage rates and state support. EPS rose from 5.8c (FY21) to 21.1c (FY25), a 38% CAGR, but that came from a margin recovery out of the COVID trough (operating margin 9.3% in FY20 → 17.8% in FY25) and volume growth. This is not a stalwart's steady compounding. For a cyclical, Lynch warns that a low P/E near peak margins is the danger signal.</w:t>
      </w:r>
    </w:p>
    <w:p>
      <w:r>
        <w:rPr>
          <w:b w:val="0"/>
          <w:i w:val="0"/>
        </w:rPr>
        <w:t>Rate-adjusted fair P/E for a cyclical is 10–14× on mid-cycle earnings. Today: 10.4× TTM EPS (25.5c) and about 11× FY26e EPS (c.24c). That is within range on current earnings. But current earnings sit at a margin peak for the company's history. On a mid-cycle 14.5% operating margin, FY26e EPS would be c.20c, giving c.13.3×, at the top of the range. PEG on FY26 growth (c.14%) ≈ 0.8, but PEG is not meaningful for a cyclical and is not used in the verdict.</w:t>
      </w:r>
    </w:p>
    <w:p>
      <w:pPr>
        <w:pStyle w:val="Heading1"/>
      </w:pPr>
      <w:r>
        <w:t>4. Earnings Quality (Penman)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835"/>
            <w:shd w:val="clear" w:color="auto" w:fill="D9E2F3"/>
          </w:tcPr>
          <w:p>
            <w:r/>
            <w:r>
              <w:rPr>
                <w:b/>
                <w:sz w:val="17"/>
              </w:rPr>
              <w:t>Measure</w:t>
            </w:r>
          </w:p>
        </w:tc>
        <w:tc>
          <w:tcPr>
            <w:tcW w:type="dxa" w:w="1247"/>
            <w:shd w:val="clear" w:color="auto" w:fill="D9E2F3"/>
          </w:tcPr>
          <w:p>
            <w:r/>
            <w:r>
              <w:rPr>
                <w:b/>
                <w:sz w:val="17"/>
              </w:rPr>
              <w:t>FY2022</w:t>
            </w:r>
          </w:p>
        </w:tc>
        <w:tc>
          <w:tcPr>
            <w:tcW w:type="dxa" w:w="1247"/>
            <w:shd w:val="clear" w:color="auto" w:fill="D9E2F3"/>
          </w:tcPr>
          <w:p>
            <w:r/>
            <w:r>
              <w:rPr>
                <w:b/>
                <w:sz w:val="17"/>
              </w:rPr>
              <w:t>FY2023</w:t>
            </w:r>
          </w:p>
        </w:tc>
        <w:tc>
          <w:tcPr>
            <w:tcW w:type="dxa" w:w="1247"/>
            <w:shd w:val="clear" w:color="auto" w:fill="D9E2F3"/>
          </w:tcPr>
          <w:p>
            <w:r/>
            <w:r>
              <w:rPr>
                <w:b/>
                <w:sz w:val="17"/>
              </w:rPr>
              <w:t>FY2024</w:t>
            </w:r>
          </w:p>
        </w:tc>
        <w:tc>
          <w:tcPr>
            <w:tcW w:type="dxa" w:w="1361"/>
            <w:shd w:val="clear" w:color="auto" w:fill="D9E2F3"/>
          </w:tcPr>
          <w:p>
            <w:r/>
            <w:r>
              <w:rPr>
                <w:b/>
                <w:sz w:val="17"/>
              </w:rPr>
              <w:t>FY2025</w:t>
            </w:r>
          </w:p>
        </w:tc>
        <w:tc>
          <w:tcPr>
            <w:tcW w:type="dxa" w:w="1814"/>
            <w:shd w:val="clear" w:color="auto" w:fill="D9E2F3"/>
          </w:tcPr>
          <w:p>
            <w:r/>
            <w:r>
              <w:rPr>
                <w:b/>
                <w:sz w:val="17"/>
              </w:rPr>
              <w:t>TTM (H2-25+H1-26)</w:t>
            </w:r>
          </w:p>
        </w:tc>
      </w:tr>
      <w:tr>
        <w:tc>
          <w:tcPr>
            <w:tcW w:type="dxa" w:w="2835"/>
          </w:tcPr>
          <w:p>
            <w:r/>
            <w:r>
              <w:rPr>
                <w:sz w:val="17"/>
              </w:rPr>
              <w:t>Net income (€m)</w:t>
            </w:r>
          </w:p>
        </w:tc>
        <w:tc>
          <w:tcPr>
            <w:tcW w:type="dxa" w:w="1247"/>
          </w:tcPr>
          <w:p>
            <w:r/>
            <w:r>
              <w:rPr>
                <w:sz w:val="17"/>
              </w:rPr>
              <w:t>81.0</w:t>
            </w:r>
          </w:p>
        </w:tc>
        <w:tc>
          <w:tcPr>
            <w:tcW w:type="dxa" w:w="1247"/>
          </w:tcPr>
          <w:p>
            <w:r/>
            <w:r>
              <w:rPr>
                <w:sz w:val="17"/>
              </w:rPr>
              <w:t>85.4</w:t>
            </w:r>
          </w:p>
        </w:tc>
        <w:tc>
          <w:tcPr>
            <w:tcW w:type="dxa" w:w="1247"/>
          </w:tcPr>
          <w:p>
            <w:r/>
            <w:r>
              <w:rPr>
                <w:sz w:val="17"/>
              </w:rPr>
              <w:t>114.6</w:t>
            </w:r>
          </w:p>
        </w:tc>
        <w:tc>
          <w:tcPr>
            <w:tcW w:type="dxa" w:w="1361"/>
          </w:tcPr>
          <w:p>
            <w:r/>
            <w:r>
              <w:rPr>
                <w:sz w:val="17"/>
              </w:rPr>
              <w:t>132.7</w:t>
            </w:r>
          </w:p>
        </w:tc>
        <w:tc>
          <w:tcPr>
            <w:tcW w:type="dxa" w:w="1814"/>
          </w:tcPr>
          <w:p>
            <w:r/>
            <w:r>
              <w:rPr>
                <w:sz w:val="17"/>
              </w:rPr>
              <w:t>159.4</w:t>
            </w:r>
          </w:p>
        </w:tc>
      </w:tr>
      <w:tr>
        <w:tc>
          <w:tcPr>
            <w:tcW w:type="dxa" w:w="2835"/>
          </w:tcPr>
          <w:p>
            <w:r/>
            <w:r>
              <w:rPr>
                <w:sz w:val="17"/>
              </w:rPr>
              <w:t>Operating cash flow (€m)</w:t>
            </w:r>
          </w:p>
        </w:tc>
        <w:tc>
          <w:tcPr>
            <w:tcW w:type="dxa" w:w="1247"/>
          </w:tcPr>
          <w:p>
            <w:r/>
            <w:r>
              <w:rPr>
                <w:sz w:val="17"/>
              </w:rPr>
              <w:t>93.9</w:t>
            </w:r>
          </w:p>
        </w:tc>
        <w:tc>
          <w:tcPr>
            <w:tcW w:type="dxa" w:w="1247"/>
          </w:tcPr>
          <w:p>
            <w:r/>
            <w:r>
              <w:rPr>
                <w:sz w:val="17"/>
              </w:rPr>
              <w:t>107.0</w:t>
            </w:r>
          </w:p>
        </w:tc>
        <w:tc>
          <w:tcPr>
            <w:tcW w:type="dxa" w:w="1247"/>
          </w:tcPr>
          <w:p>
            <w:r/>
            <w:r>
              <w:rPr>
                <w:sz w:val="17"/>
              </w:rPr>
              <w:t>134.7</w:t>
            </w:r>
          </w:p>
        </w:tc>
        <w:tc>
          <w:tcPr>
            <w:tcW w:type="dxa" w:w="1361"/>
          </w:tcPr>
          <w:p>
            <w:r/>
            <w:r>
              <w:rPr>
                <w:sz w:val="17"/>
              </w:rPr>
              <w:t>70.6</w:t>
            </w:r>
          </w:p>
        </w:tc>
        <w:tc>
          <w:tcPr>
            <w:tcW w:type="dxa" w:w="1814"/>
          </w:tcPr>
          <w:p>
            <w:r/>
            <w:r>
              <w:rPr>
                <w:sz w:val="17"/>
              </w:rPr>
              <w:t>211.6</w:t>
            </w:r>
          </w:p>
        </w:tc>
      </w:tr>
      <w:tr>
        <w:tc>
          <w:tcPr>
            <w:tcW w:type="dxa" w:w="2835"/>
          </w:tcPr>
          <w:p>
            <w:r/>
            <w:r>
              <w:rPr>
                <w:sz w:val="17"/>
              </w:rPr>
              <w:t>Accrual ratio (NI−OCF)/avg TA</w:t>
            </w:r>
          </w:p>
        </w:tc>
        <w:tc>
          <w:tcPr>
            <w:tcW w:type="dxa" w:w="1247"/>
          </w:tcPr>
          <w:p>
            <w:r/>
            <w:r>
              <w:rPr>
                <w:sz w:val="17"/>
              </w:rPr>
              <w:t>−1.2%</w:t>
            </w:r>
          </w:p>
        </w:tc>
        <w:tc>
          <w:tcPr>
            <w:tcW w:type="dxa" w:w="1247"/>
          </w:tcPr>
          <w:p>
            <w:r/>
            <w:r>
              <w:rPr>
                <w:sz w:val="17"/>
              </w:rPr>
              <w:t>−2.1%</w:t>
            </w:r>
          </w:p>
        </w:tc>
        <w:tc>
          <w:tcPr>
            <w:tcW w:type="dxa" w:w="1247"/>
          </w:tcPr>
          <w:p>
            <w:r/>
            <w:r>
              <w:rPr>
                <w:sz w:val="17"/>
              </w:rPr>
              <w:t>−1.9%</w:t>
            </w:r>
          </w:p>
        </w:tc>
        <w:tc>
          <w:tcPr>
            <w:tcW w:type="dxa" w:w="1361"/>
          </w:tcPr>
          <w:p>
            <w:r/>
            <w:r>
              <w:rPr>
                <w:sz w:val="17"/>
              </w:rPr>
              <w:t>+5.2% ⚠</w:t>
            </w:r>
          </w:p>
        </w:tc>
        <w:tc>
          <w:tcPr>
            <w:tcW w:type="dxa" w:w="1814"/>
          </w:tcPr>
          <w:p>
            <w:r/>
            <w:r>
              <w:rPr>
                <w:sz w:val="17"/>
              </w:rPr>
              <w:t>−4.0%</w:t>
            </w:r>
          </w:p>
        </w:tc>
      </w:tr>
      <w:tr>
        <w:tc>
          <w:tcPr>
            <w:tcW w:type="dxa" w:w="2835"/>
          </w:tcPr>
          <w:p>
            <w:r/>
            <w:r>
              <w:rPr>
                <w:sz w:val="17"/>
              </w:rPr>
              <w:t>Inventory growth vs revenue growth</w:t>
            </w:r>
          </w:p>
        </w:tc>
        <w:tc>
          <w:tcPr>
            <w:tcW w:type="dxa" w:w="1247"/>
          </w:tcPr>
          <w:p>
            <w:r/>
            <w:r>
              <w:rPr>
                <w:sz w:val="17"/>
              </w:rPr>
              <w:t>c.+2.6% (from CF) vs +46%</w:t>
            </w:r>
          </w:p>
        </w:tc>
        <w:tc>
          <w:tcPr>
            <w:tcW w:type="dxa" w:w="1247"/>
          </w:tcPr>
          <w:p>
            <w:r/>
            <w:r>
              <w:rPr>
                <w:sz w:val="17"/>
              </w:rPr>
              <w:t>−2.5% vs +8%</w:t>
            </w:r>
          </w:p>
        </w:tc>
        <w:tc>
          <w:tcPr>
            <w:tcW w:type="dxa" w:w="1247"/>
          </w:tcPr>
          <w:p>
            <w:r/>
            <w:r>
              <w:rPr>
                <w:sz w:val="17"/>
              </w:rPr>
              <w:t>−8.6% vs +29%</w:t>
            </w:r>
          </w:p>
        </w:tc>
        <w:tc>
          <w:tcPr>
            <w:tcW w:type="dxa" w:w="1361"/>
          </w:tcPr>
          <w:p>
            <w:r/>
            <w:r>
              <w:rPr>
                <w:sz w:val="17"/>
              </w:rPr>
              <w:t>+29.4% vs +9.9% ⚠</w:t>
            </w:r>
          </w:p>
        </w:tc>
        <w:tc>
          <w:tcPr>
            <w:tcW w:type="dxa" w:w="1814"/>
          </w:tcPr>
          <w:p>
            <w:r/>
            <w:r>
              <w:rPr>
                <w:sz w:val="17"/>
              </w:rPr>
              <w:t>+5.5% (H1, vs Dec-25) vs +60% H1 rev</w:t>
            </w:r>
          </w:p>
        </w:tc>
      </w:tr>
      <w:tr>
        <w:tc>
          <w:tcPr>
            <w:tcW w:type="dxa" w:w="2835"/>
          </w:tcPr>
          <w:p>
            <w:r/>
            <w:r>
              <w:rPr>
                <w:sz w:val="17"/>
              </w:rPr>
              <w:t>RNOA (NOPLAT / (equity+net debt))</w:t>
            </w:r>
          </w:p>
        </w:tc>
        <w:tc>
          <w:tcPr>
            <w:tcW w:type="dxa" w:w="1247"/>
          </w:tcPr>
          <w:p>
            <w:r/>
            <w:r>
              <w:rPr>
                <w:sz w:val="17"/>
              </w:rPr>
              <w:t>10.0%</w:t>
            </w:r>
          </w:p>
        </w:tc>
        <w:tc>
          <w:tcPr>
            <w:tcW w:type="dxa" w:w="1247"/>
          </w:tcPr>
          <w:p>
            <w:r/>
            <w:r>
              <w:rPr>
                <w:sz w:val="17"/>
              </w:rPr>
              <w:t>11.0%</w:t>
            </w:r>
          </w:p>
        </w:tc>
        <w:tc>
          <w:tcPr>
            <w:tcW w:type="dxa" w:w="1247"/>
          </w:tcPr>
          <w:p>
            <w:r/>
            <w:r>
              <w:rPr>
                <w:sz w:val="17"/>
              </w:rPr>
              <w:t>14.4%</w:t>
            </w:r>
          </w:p>
        </w:tc>
        <w:tc>
          <w:tcPr>
            <w:tcW w:type="dxa" w:w="1361"/>
          </w:tcPr>
          <w:p>
            <w:r/>
            <w:r>
              <w:rPr>
                <w:sz w:val="17"/>
              </w:rPr>
              <w:t>14.6%</w:t>
            </w:r>
          </w:p>
        </w:tc>
        <w:tc>
          <w:tcPr>
            <w:tcW w:type="dxa" w:w="1814"/>
          </w:tcPr>
          <w:p>
            <w:r/>
            <w:r>
              <w:rPr>
                <w:sz w:val="17"/>
              </w:rPr>
              <w:t>≈16.6%</w:t>
            </w:r>
          </w:p>
        </w:tc>
      </w:tr>
      <w:tr>
        <w:tc>
          <w:tcPr>
            <w:tcW w:type="dxa" w:w="2835"/>
          </w:tcPr>
          <w:p>
            <w:r/>
            <w:r>
              <w:rPr>
                <w:sz w:val="17"/>
              </w:rPr>
              <w:t>ROE (NI / year-end equity)</w:t>
            </w:r>
          </w:p>
        </w:tc>
        <w:tc>
          <w:tcPr>
            <w:tcW w:type="dxa" w:w="1247"/>
          </w:tcPr>
          <w:p>
            <w:r/>
            <w:r>
              <w:rPr>
                <w:sz w:val="17"/>
              </w:rPr>
              <w:t>10.8%</w:t>
            </w:r>
          </w:p>
        </w:tc>
        <w:tc>
          <w:tcPr>
            <w:tcW w:type="dxa" w:w="1247"/>
          </w:tcPr>
          <w:p>
            <w:r/>
            <w:r>
              <w:rPr>
                <w:sz w:val="17"/>
              </w:rPr>
              <w:t>11.3%</w:t>
            </w:r>
          </w:p>
        </w:tc>
        <w:tc>
          <w:tcPr>
            <w:tcW w:type="dxa" w:w="1247"/>
          </w:tcPr>
          <w:p>
            <w:r/>
            <w:r>
              <w:rPr>
                <w:sz w:val="17"/>
              </w:rPr>
              <w:t>15.1%</w:t>
            </w:r>
          </w:p>
        </w:tc>
        <w:tc>
          <w:tcPr>
            <w:tcW w:type="dxa" w:w="1361"/>
          </w:tcPr>
          <w:p>
            <w:r/>
            <w:r>
              <w:rPr>
                <w:sz w:val="17"/>
              </w:rPr>
              <w:t>15.9%</w:t>
            </w:r>
          </w:p>
        </w:tc>
        <w:tc>
          <w:tcPr>
            <w:tcW w:type="dxa" w:w="1814"/>
          </w:tcPr>
          <w:p>
            <w:r/>
            <w:r>
              <w:rPr>
                <w:sz w:val="17"/>
              </w:rPr>
              <w:t>18.5%</w:t>
            </w:r>
          </w:p>
        </w:tc>
      </w:tr>
      <w:tr>
        <w:tc>
          <w:tcPr>
            <w:tcW w:type="dxa" w:w="2835"/>
          </w:tcPr>
          <w:p>
            <w:r/>
            <w:r>
              <w:rPr>
                <w:sz w:val="17"/>
              </w:rPr>
              <w:t>Share count change (YE ordinary shares)</w:t>
            </w:r>
          </w:p>
        </w:tc>
        <w:tc>
          <w:tcPr>
            <w:tcW w:type="dxa" w:w="1247"/>
          </w:tcPr>
          <w:p>
            <w:r/>
            <w:r>
              <w:rPr>
                <w:sz w:val="17"/>
              </w:rPr>
              <w:t>−8%*</w:t>
            </w:r>
          </w:p>
        </w:tc>
        <w:tc>
          <w:tcPr>
            <w:tcW w:type="dxa" w:w="1247"/>
          </w:tcPr>
          <w:p>
            <w:r/>
            <w:r>
              <w:rPr>
                <w:sz w:val="17"/>
              </w:rPr>
              <w:t>−4.9%</w:t>
            </w:r>
          </w:p>
        </w:tc>
        <w:tc>
          <w:tcPr>
            <w:tcW w:type="dxa" w:w="1247"/>
          </w:tcPr>
          <w:p>
            <w:r/>
            <w:r>
              <w:rPr>
                <w:sz w:val="17"/>
              </w:rPr>
              <w:t>−5.6%</w:t>
            </w:r>
          </w:p>
        </w:tc>
        <w:tc>
          <w:tcPr>
            <w:tcW w:type="dxa" w:w="1361"/>
          </w:tcPr>
          <w:p>
            <w:r/>
            <w:r>
              <w:rPr>
                <w:sz w:val="17"/>
              </w:rPr>
              <w:t>+0.3%</w:t>
            </w:r>
          </w:p>
        </w:tc>
        <w:tc>
          <w:tcPr>
            <w:tcW w:type="dxa" w:w="1814"/>
          </w:tcPr>
          <w:p>
            <w:r/>
            <w:r>
              <w:rPr>
                <w:sz w:val="17"/>
              </w:rPr>
              <w:t>+0.6% (Jun-26 vs Dec-25)</w:t>
            </w:r>
          </w:p>
        </w:tc>
      </w:tr>
    </w:tbl>
    <w:p/>
    <w:p>
      <w:r>
        <w:rPr>
          <w:b w:val="0"/>
          <w:i/>
          <w:sz w:val="16"/>
        </w:rPr>
        <w:t>*FY21 share count is approximate (c.745m implied by €43.2m PAT / 5.8c EPS).</w:t>
      </w:r>
    </w:p>
    <w:p>
      <w:pPr>
        <w:pStyle w:val="ListBullet"/>
      </w:pPr>
      <w:r>
        <w:t>The FY2025 accrual flag (5.2%) is real, but its cause is identified and has already reversed. Cairn invested €173m in inventory (WIP for the 60% H1-26 output step-up), so OCF fell to €70.6m while NI rose. H1-26 OCF swung to +€22.4m and the TTM accrual ratio is −4.0%. Penman's cap rule (accrual &gt; 5% and NI growing while OCF stays flat) is not met on a TTM basis, so the verdict is not capped. Watch FY26 OCF: if it comes in below c.€120m against c.€148m NI, the flag returns.</w:t>
      </w:r>
    </w:p>
    <w:p>
      <w:pPr>
        <w:pStyle w:val="ListBullet"/>
      </w:pPr>
      <w:r>
        <w:t>Persistent vs transitory: unusual items are negligible (€−0.1m to +€0.5m a year). Earnings are core operating income. The transitory element is cyclical: an operating margin of 17.8% vs a 5-year average of c.16% (FY21–25) and 9.3% in FY20.</w:t>
      </w:r>
    </w:p>
    <w:p>
      <w:pPr>
        <w:pStyle w:val="ListBullet"/>
      </w:pPr>
      <w:r>
        <w:t>RNOA vs ROE: RNOA rose from 10.0% to c.16.6%, and that is the real driver. Financial leverage is low (net debt/equity 23%), so ROE improvement is operating, not leverage-driven. ✓</w:t>
      </w:r>
    </w:p>
    <w:p>
      <w:pPr>
        <w:pStyle w:val="ListBullet"/>
      </w:pPr>
      <w:r>
        <w:t>Gross margin is flat at 21.7–22.2% for four years, then 21.3% in H1-26 (−90 bps YoY). Not a trend yet, but it is the first YoY decline. Dilution: none. Share count fell from 685.8m to 617.7m in 2022–25 through buybacks.</w:t>
      </w:r>
    </w:p>
    <w:p>
      <w:pPr>
        <w:pStyle w:val="Heading1"/>
      </w:pPr>
      <w:r>
        <w:t>5. Valuation — DCF (Koller)</w:t>
      </w:r>
    </w:p>
    <w:p>
      <w:pPr>
        <w:pStyle w:val="Heading2"/>
      </w:pPr>
      <w:r>
        <w:t>Method fit</w:t>
      </w:r>
    </w:p>
    <w:p>
      <w:r>
        <w:rPr>
          <w:b w:val="0"/>
          <w:i w:val="0"/>
        </w:rPr>
        <w:t>FCFF DCF with invested capital = equity + net debt. For a housebuilder, the real capex is the land + WIP held in inventory, so net investment is modelled as the change in invested capital needed to support revenue, through a revenue / invested-capital turnover ratio (FY25 0.94×, FY26e ≈ 1.0×). Reported PP&amp;E capex (0.3% of revenue) is economically meaningless here.</w:t>
      </w:r>
    </w:p>
    <w:p>
      <w:pPr>
        <w:pStyle w:val="Heading2"/>
      </w:pPr>
      <w:r>
        <w:t>WACC construction</w:t>
      </w:r>
    </w:p>
    <w:tbl>
      <w:tblPr>
        <w:tblStyle w:val="TableGrid"/>
        <w:tblW w:type="auto" w:w="0"/>
        <w:tblLook w:firstColumn="1" w:firstRow="1" w:lastColumn="0" w:lastRow="0" w:noHBand="0" w:noVBand="1" w:val="04A0"/>
      </w:tblPr>
      <w:tblGrid>
        <w:gridCol w:w="3324"/>
        <w:gridCol w:w="3324"/>
        <w:gridCol w:w="3324"/>
      </w:tblGrid>
      <w:tr>
        <w:tc>
          <w:tcPr>
            <w:tcW w:type="dxa" w:w="1984"/>
            <w:shd w:val="clear" w:color="auto" w:fill="D9E2F3"/>
          </w:tcPr>
          <w:p>
            <w:r/>
            <w:r>
              <w:rPr>
                <w:b/>
                <w:sz w:val="17"/>
              </w:rPr>
              <w:t>Input</w:t>
            </w:r>
          </w:p>
        </w:tc>
        <w:tc>
          <w:tcPr>
            <w:tcW w:type="dxa" w:w="1417"/>
            <w:shd w:val="clear" w:color="auto" w:fill="D9E2F3"/>
          </w:tcPr>
          <w:p>
            <w:r/>
            <w:r>
              <w:rPr>
                <w:b/>
                <w:sz w:val="17"/>
              </w:rPr>
              <w:t>Value</w:t>
            </w:r>
          </w:p>
        </w:tc>
        <w:tc>
          <w:tcPr>
            <w:tcW w:type="dxa" w:w="6236"/>
            <w:shd w:val="clear" w:color="auto" w:fill="D9E2F3"/>
          </w:tcPr>
          <w:p>
            <w:r/>
            <w:r>
              <w:rPr>
                <w:b/>
                <w:sz w:val="17"/>
              </w:rPr>
              <w:t>Source / reasoning</w:t>
            </w:r>
          </w:p>
        </w:tc>
      </w:tr>
      <w:tr>
        <w:tc>
          <w:tcPr>
            <w:tcW w:type="dxa" w:w="1984"/>
          </w:tcPr>
          <w:p>
            <w:r/>
            <w:r>
              <w:rPr>
                <w:sz w:val="17"/>
              </w:rPr>
              <w:t>Risk-free rate</w:t>
            </w:r>
          </w:p>
        </w:tc>
        <w:tc>
          <w:tcPr>
            <w:tcW w:type="dxa" w:w="1417"/>
          </w:tcPr>
          <w:p>
            <w:r/>
            <w:r>
              <w:rPr>
                <w:sz w:val="17"/>
              </w:rPr>
              <w:t>3.45%</w:t>
            </w:r>
          </w:p>
        </w:tc>
        <w:tc>
          <w:tcPr>
            <w:tcW w:type="dxa" w:w="6236"/>
          </w:tcPr>
          <w:p>
            <w:r/>
            <w:r>
              <w:rPr>
                <w:sz w:val="17"/>
              </w:rPr>
              <w:t>10Y Bund, 2 Oct 2026 (Trading Economics). The spec's 2.5% Bund calibration is stale; the Bund has re-rated about 100 bps. Irish 10Y is 3.62%.</w:t>
            </w:r>
          </w:p>
        </w:tc>
      </w:tr>
      <w:tr>
        <w:tc>
          <w:tcPr>
            <w:tcW w:type="dxa" w:w="1984"/>
          </w:tcPr>
          <w:p>
            <w:r/>
            <w:r>
              <w:rPr>
                <w:sz w:val="17"/>
              </w:rPr>
              <w:t>ERP</w:t>
            </w:r>
          </w:p>
        </w:tc>
        <w:tc>
          <w:tcPr>
            <w:tcW w:type="dxa" w:w="1417"/>
          </w:tcPr>
          <w:p>
            <w:r/>
            <w:r>
              <w:rPr>
                <w:sz w:val="17"/>
              </w:rPr>
              <w:t>5.0%</w:t>
            </w:r>
          </w:p>
        </w:tc>
        <w:tc>
          <w:tcPr>
            <w:tcW w:type="dxa" w:w="6236"/>
          </w:tcPr>
          <w:p>
            <w:r/>
            <w:r>
              <w:rPr>
                <w:sz w:val="17"/>
              </w:rPr>
              <w:t>Spec EU calibration (Damodaran implied)</w:t>
            </w:r>
          </w:p>
        </w:tc>
      </w:tr>
      <w:tr>
        <w:tc>
          <w:tcPr>
            <w:tcW w:type="dxa" w:w="1984"/>
          </w:tcPr>
          <w:p>
            <w:r/>
            <w:r>
              <w:rPr>
                <w:sz w:val="17"/>
              </w:rPr>
              <w:t>Beta (base)</w:t>
            </w:r>
          </w:p>
        </w:tc>
        <w:tc>
          <w:tcPr>
            <w:tcW w:type="dxa" w:w="1417"/>
          </w:tcPr>
          <w:p>
            <w:r/>
            <w:r>
              <w:rPr>
                <w:sz w:val="17"/>
              </w:rPr>
              <w:t>1.10</w:t>
            </w:r>
          </w:p>
        </w:tc>
        <w:tc>
          <w:tcPr>
            <w:tcW w:type="dxa" w:w="6236"/>
          </w:tcPr>
          <w:p>
            <w:r/>
            <w:r>
              <w:rPr>
                <w:sz w:val="17"/>
              </w:rPr>
              <w:t>yfinance shows 0.74, which is implausibly low for a cyclical housebuilder (Irish-listed, thin-float effects). 1.1 is a judgement blend; PIE is also run at 0.74 and 1.4.</w:t>
            </w:r>
          </w:p>
        </w:tc>
      </w:tr>
      <w:tr>
        <w:tc>
          <w:tcPr>
            <w:tcW w:type="dxa" w:w="1984"/>
          </w:tcPr>
          <w:p>
            <w:r/>
            <w:r>
              <w:rPr>
                <w:sz w:val="17"/>
              </w:rPr>
              <w:t>Cost of equity</w:t>
            </w:r>
          </w:p>
        </w:tc>
        <w:tc>
          <w:tcPr>
            <w:tcW w:type="dxa" w:w="1417"/>
          </w:tcPr>
          <w:p>
            <w:r/>
            <w:r>
              <w:rPr>
                <w:sz w:val="17"/>
              </w:rPr>
              <w:t>8.95%</w:t>
            </w:r>
          </w:p>
        </w:tc>
        <w:tc>
          <w:tcPr>
            <w:tcW w:type="dxa" w:w="6236"/>
          </w:tcPr>
          <w:p>
            <w:r/>
            <w:r>
              <w:rPr>
                <w:sz w:val="17"/>
              </w:rPr>
              <w:t>3.45% + 1.1 × 5.0%</w:t>
            </w:r>
          </w:p>
        </w:tc>
      </w:tr>
      <w:tr>
        <w:tc>
          <w:tcPr>
            <w:tcW w:type="dxa" w:w="1984"/>
          </w:tcPr>
          <w:p>
            <w:r/>
            <w:r>
              <w:rPr>
                <w:sz w:val="17"/>
              </w:rPr>
              <w:t>Pre-tax cost of debt</w:t>
            </w:r>
          </w:p>
        </w:tc>
        <w:tc>
          <w:tcPr>
            <w:tcW w:type="dxa" w:w="1417"/>
          </w:tcPr>
          <w:p>
            <w:r/>
            <w:r>
              <w:rPr>
                <w:sz w:val="17"/>
              </w:rPr>
              <w:t>4.8%</w:t>
            </w:r>
          </w:p>
        </w:tc>
        <w:tc>
          <w:tcPr>
            <w:tcW w:type="dxa" w:w="6236"/>
          </w:tcPr>
          <w:p>
            <w:r/>
            <w:r>
              <w:rPr>
                <w:sz w:val="17"/>
              </w:rPr>
              <w:t>Bank syndicate + PGIM private placement; Euribor-plus margin estimate (not disclosed)</w:t>
            </w:r>
          </w:p>
        </w:tc>
      </w:tr>
      <w:tr>
        <w:tc>
          <w:tcPr>
            <w:tcW w:type="dxa" w:w="1984"/>
          </w:tcPr>
          <w:p>
            <w:r/>
            <w:r>
              <w:rPr>
                <w:sz w:val="17"/>
              </w:rPr>
              <w:t>Tax rate</w:t>
            </w:r>
          </w:p>
        </w:tc>
        <w:tc>
          <w:tcPr>
            <w:tcW w:type="dxa" w:w="1417"/>
          </w:tcPr>
          <w:p>
            <w:r/>
            <w:r>
              <w:rPr>
                <w:sz w:val="17"/>
              </w:rPr>
              <w:t>12.5%</w:t>
            </w:r>
          </w:p>
        </w:tc>
        <w:tc>
          <w:tcPr>
            <w:tcW w:type="dxa" w:w="6236"/>
          </w:tcPr>
          <w:p>
            <w:r/>
            <w:r>
              <w:rPr>
                <w:sz w:val="17"/>
              </w:rPr>
              <w:t>Irish trading rate (effective FY25 12.9%)</w:t>
            </w:r>
          </w:p>
        </w:tc>
      </w:tr>
      <w:tr>
        <w:tc>
          <w:tcPr>
            <w:tcW w:type="dxa" w:w="1984"/>
          </w:tcPr>
          <w:p>
            <w:r/>
            <w:r>
              <w:rPr>
                <w:sz w:val="17"/>
              </w:rPr>
              <w:t>E/V – D/V (market values)</w:t>
            </w:r>
          </w:p>
        </w:tc>
        <w:tc>
          <w:tcPr>
            <w:tcW w:type="dxa" w:w="1417"/>
          </w:tcPr>
          <w:p>
            <w:r/>
            <w:r>
              <w:rPr>
                <w:sz w:val="17"/>
              </w:rPr>
              <w:t>86.8% – 13.2%</w:t>
            </w:r>
          </w:p>
        </w:tc>
        <w:tc>
          <w:tcPr>
            <w:tcW w:type="dxa" w:w="6236"/>
          </w:tcPr>
          <w:p>
            <w:r/>
            <w:r>
              <w:rPr>
                <w:sz w:val="17"/>
              </w:rPr>
              <w:t>Market cap €1,632.5m; gross debt €248.8m</w:t>
            </w:r>
          </w:p>
        </w:tc>
      </w:tr>
      <w:tr>
        <w:tc>
          <w:tcPr>
            <w:tcW w:type="dxa" w:w="1984"/>
          </w:tcPr>
          <w:p>
            <w:r/>
            <w:r>
              <w:rPr>
                <w:sz w:val="17"/>
              </w:rPr>
              <w:t>WACC</w:t>
            </w:r>
          </w:p>
        </w:tc>
        <w:tc>
          <w:tcPr>
            <w:tcW w:type="dxa" w:w="1417"/>
          </w:tcPr>
          <w:p>
            <w:r/>
            <w:r>
              <w:rPr>
                <w:sz w:val="17"/>
              </w:rPr>
              <w:t>8.32%</w:t>
            </w:r>
          </w:p>
        </w:tc>
        <w:tc>
          <w:tcPr>
            <w:tcW w:type="dxa" w:w="6236"/>
          </w:tcPr>
          <w:p>
            <w:r/>
            <w:r>
              <w:rPr>
                <w:sz w:val="17"/>
              </w:rPr>
              <w:t>Beta 0.74 → 6.76% (below the 7% flag, rejected as base); beta 1.4 → 9.62%</w:t>
            </w:r>
          </w:p>
        </w:tc>
      </w:tr>
    </w:tbl>
    <w:p/>
    <w:p>
      <w:pPr>
        <w:pStyle w:val="Heading2"/>
      </w:pPr>
      <w:r>
        <w:t>ROIC vs WACC</w:t>
      </w:r>
    </w:p>
    <w:p>
      <w:r>
        <w:rPr>
          <w:b w:val="0"/>
          <w:i w:val="0"/>
        </w:rPr>
        <w:t>ROIC (NOPLAT / (equity + net debt), year-end): FY21 5.8% → FY22 10.0% → FY23 11.0% → FY24 14.4% → FY25 14.6% → TTM c.16.6%. The spread over the 8.3% WACC is now c.+6–8 pts. Cairn has created value only since FY24; FY21–23 ROIC was at or below WACC. The 5-year average is 11.2%. The trend is clearly improving.</w:t>
      </w:r>
    </w:p>
    <w:p>
      <w:pPr>
        <w:pStyle w:val="Heading2"/>
      </w:pPr>
      <w:r>
        <w:t>Scenarios — 7-year explicit forecast (2027–2033) + Key-Value-Driver terminal value (g = 2.5%)</w:t>
      </w:r>
    </w:p>
    <w:p>
      <w:r>
        <w:rPr>
          <w:b w:val="0"/>
          <w:i w:val="0"/>
        </w:rPr>
        <w:t>Explicit period = 7 years, the top of Mauboussin's narrow-moat CAP band (Step 6). The base case starts from management's FY26 guide (€1.08bn revenue, €185m EBIT) and 3,200 units in 2027 (+15.7%). Growth then fades from 8% to 3%. Operating margin fades from 17.3% to a mid-cycle 15.0% by 2033. Turnover improves from 1.0× to 1.10× (land investment not recurring). Terminal RONIC is 11%. Bear and Bull follow the spec mechanics (growth ×0.7 / ×1.3, margin −300 / +200 bps, terminal RONIC = WACC−1% / WACC+3%), with turnover 1.0× (bear) and 1.25× (bull). Valuation date is 2 Oct 2026 and the H2-26 FCFF is included.</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701"/>
            <w:shd w:val="clear" w:color="auto" w:fill="D9E2F3"/>
          </w:tcPr>
          <w:p>
            <w:r/>
            <w:r>
              <w:rPr>
                <w:b/>
                <w:sz w:val="17"/>
              </w:rPr>
              <w:t>Scenario</w:t>
            </w:r>
          </w:p>
        </w:tc>
        <w:tc>
          <w:tcPr>
            <w:tcW w:type="dxa" w:w="1474"/>
            <w:shd w:val="clear" w:color="auto" w:fill="D9E2F3"/>
          </w:tcPr>
          <w:p>
            <w:r/>
            <w:r>
              <w:rPr>
                <w:b/>
                <w:sz w:val="17"/>
              </w:rPr>
              <w:t>2033 revenue</w:t>
            </w:r>
          </w:p>
        </w:tc>
        <w:tc>
          <w:tcPr>
            <w:tcW w:type="dxa" w:w="1247"/>
            <w:shd w:val="clear" w:color="auto" w:fill="D9E2F3"/>
          </w:tcPr>
          <w:p>
            <w:r/>
            <w:r>
              <w:rPr>
                <w:b/>
                <w:sz w:val="17"/>
              </w:rPr>
              <w:t>2033 EBIT margin</w:t>
            </w:r>
          </w:p>
        </w:tc>
        <w:tc>
          <w:tcPr>
            <w:tcW w:type="dxa" w:w="1020"/>
            <w:shd w:val="clear" w:color="auto" w:fill="D9E2F3"/>
          </w:tcPr>
          <w:p>
            <w:r/>
            <w:r>
              <w:rPr>
                <w:b/>
                <w:sz w:val="17"/>
              </w:rPr>
              <w:t>2033 ROIC</w:t>
            </w:r>
          </w:p>
        </w:tc>
        <w:tc>
          <w:tcPr>
            <w:tcW w:type="dxa" w:w="907"/>
            <w:shd w:val="clear" w:color="auto" w:fill="D9E2F3"/>
          </w:tcPr>
          <w:p>
            <w:r/>
            <w:r>
              <w:rPr>
                <w:b/>
                <w:sz w:val="17"/>
              </w:rPr>
              <w:t>EV (€m)</w:t>
            </w:r>
          </w:p>
        </w:tc>
        <w:tc>
          <w:tcPr>
            <w:tcW w:type="dxa" w:w="1020"/>
            <w:shd w:val="clear" w:color="auto" w:fill="D9E2F3"/>
          </w:tcPr>
          <w:p>
            <w:r/>
            <w:r>
              <w:rPr>
                <w:b/>
                <w:sz w:val="17"/>
              </w:rPr>
              <w:t>Equity (€m)</w:t>
            </w:r>
          </w:p>
        </w:tc>
        <w:tc>
          <w:tcPr>
            <w:tcW w:type="dxa" w:w="907"/>
            <w:shd w:val="clear" w:color="auto" w:fill="D9E2F3"/>
          </w:tcPr>
          <w:p>
            <w:r/>
            <w:r>
              <w:rPr>
                <w:b/>
                <w:sz w:val="17"/>
              </w:rPr>
              <w:t>€ / share</w:t>
            </w:r>
          </w:p>
        </w:tc>
        <w:tc>
          <w:tcPr>
            <w:tcW w:type="dxa" w:w="907"/>
            <w:shd w:val="clear" w:color="auto" w:fill="D9E2F3"/>
          </w:tcPr>
          <w:p>
            <w:r/>
            <w:r>
              <w:rPr>
                <w:b/>
                <w:sz w:val="17"/>
              </w:rPr>
              <w:t>vs €2.64</w:t>
            </w:r>
          </w:p>
        </w:tc>
      </w:tr>
      <w:tr>
        <w:tc>
          <w:tcPr>
            <w:tcW w:type="dxa" w:w="1701"/>
          </w:tcPr>
          <w:p>
            <w:r/>
            <w:r>
              <w:rPr>
                <w:sz w:val="17"/>
              </w:rPr>
              <w:t>Bear</w:t>
            </w:r>
          </w:p>
        </w:tc>
        <w:tc>
          <w:tcPr>
            <w:tcW w:type="dxa" w:w="1474"/>
          </w:tcPr>
          <w:p>
            <w:r/>
            <w:r>
              <w:rPr>
                <w:sz w:val="17"/>
              </w:rPr>
              <w:t>€1,438m</w:t>
            </w:r>
          </w:p>
        </w:tc>
        <w:tc>
          <w:tcPr>
            <w:tcW w:type="dxa" w:w="1247"/>
          </w:tcPr>
          <w:p>
            <w:r/>
            <w:r>
              <w:rPr>
                <w:sz w:val="17"/>
              </w:rPr>
              <w:t>12.0%</w:t>
            </w:r>
          </w:p>
        </w:tc>
        <w:tc>
          <w:tcPr>
            <w:tcW w:type="dxa" w:w="1020"/>
          </w:tcPr>
          <w:p>
            <w:r/>
            <w:r>
              <w:rPr>
                <w:sz w:val="17"/>
              </w:rPr>
              <w:t>10.5%</w:t>
            </w:r>
          </w:p>
        </w:tc>
        <w:tc>
          <w:tcPr>
            <w:tcW w:type="dxa" w:w="907"/>
          </w:tcPr>
          <w:p>
            <w:r/>
            <w:r>
              <w:rPr>
                <w:sz w:val="17"/>
              </w:rPr>
              <w:t>1,559</w:t>
            </w:r>
          </w:p>
        </w:tc>
        <w:tc>
          <w:tcPr>
            <w:tcW w:type="dxa" w:w="1020"/>
          </w:tcPr>
          <w:p>
            <w:r/>
            <w:r>
              <w:rPr>
                <w:sz w:val="17"/>
              </w:rPr>
              <w:t>1,364</w:t>
            </w:r>
          </w:p>
        </w:tc>
        <w:tc>
          <w:tcPr>
            <w:tcW w:type="dxa" w:w="907"/>
          </w:tcPr>
          <w:p>
            <w:r/>
            <w:r>
              <w:rPr>
                <w:sz w:val="17"/>
              </w:rPr>
              <w:t>€2.21</w:t>
            </w:r>
          </w:p>
        </w:tc>
        <w:tc>
          <w:tcPr>
            <w:tcW w:type="dxa" w:w="907"/>
          </w:tcPr>
          <w:p>
            <w:r/>
            <w:r>
              <w:rPr>
                <w:sz w:val="17"/>
              </w:rPr>
              <w:t>−16%</w:t>
            </w:r>
          </w:p>
        </w:tc>
      </w:tr>
      <w:tr>
        <w:tc>
          <w:tcPr>
            <w:tcW w:type="dxa" w:w="1701"/>
          </w:tcPr>
          <w:p>
            <w:r/>
            <w:r>
              <w:rPr>
                <w:sz w:val="17"/>
              </w:rPr>
              <w:t>Base</w:t>
            </w:r>
          </w:p>
        </w:tc>
        <w:tc>
          <w:tcPr>
            <w:tcW w:type="dxa" w:w="1474"/>
          </w:tcPr>
          <w:p>
            <w:r/>
            <w:r>
              <w:rPr>
                <w:sz w:val="17"/>
              </w:rPr>
              <w:t>€1,618m</w:t>
            </w:r>
          </w:p>
        </w:tc>
        <w:tc>
          <w:tcPr>
            <w:tcW w:type="dxa" w:w="1247"/>
          </w:tcPr>
          <w:p>
            <w:r/>
            <w:r>
              <w:rPr>
                <w:sz w:val="17"/>
              </w:rPr>
              <w:t>15.0%</w:t>
            </w:r>
          </w:p>
        </w:tc>
        <w:tc>
          <w:tcPr>
            <w:tcW w:type="dxa" w:w="1020"/>
          </w:tcPr>
          <w:p>
            <w:r/>
            <w:r>
              <w:rPr>
                <w:sz w:val="17"/>
              </w:rPr>
              <w:t>14.4%</w:t>
            </w:r>
          </w:p>
        </w:tc>
        <w:tc>
          <w:tcPr>
            <w:tcW w:type="dxa" w:w="907"/>
          </w:tcPr>
          <w:p>
            <w:r/>
            <w:r>
              <w:rPr>
                <w:sz w:val="17"/>
              </w:rPr>
              <w:t>2,436</w:t>
            </w:r>
          </w:p>
        </w:tc>
        <w:tc>
          <w:tcPr>
            <w:tcW w:type="dxa" w:w="1020"/>
          </w:tcPr>
          <w:p>
            <w:r/>
            <w:r>
              <w:rPr>
                <w:sz w:val="17"/>
              </w:rPr>
              <w:t>2,241</w:t>
            </w:r>
          </w:p>
        </w:tc>
        <w:tc>
          <w:tcPr>
            <w:tcW w:type="dxa" w:w="907"/>
          </w:tcPr>
          <w:p>
            <w:r/>
            <w:r>
              <w:rPr>
                <w:sz w:val="17"/>
              </w:rPr>
              <w:t>€3.62</w:t>
            </w:r>
          </w:p>
        </w:tc>
        <w:tc>
          <w:tcPr>
            <w:tcW w:type="dxa" w:w="907"/>
          </w:tcPr>
          <w:p>
            <w:r/>
            <w:r>
              <w:rPr>
                <w:sz w:val="17"/>
              </w:rPr>
              <w:t>+37%</w:t>
            </w:r>
          </w:p>
        </w:tc>
      </w:tr>
      <w:tr>
        <w:tc>
          <w:tcPr>
            <w:tcW w:type="dxa" w:w="1701"/>
          </w:tcPr>
          <w:p>
            <w:r/>
            <w:r>
              <w:rPr>
                <w:sz w:val="17"/>
              </w:rPr>
              <w:t>Bull</w:t>
            </w:r>
          </w:p>
        </w:tc>
        <w:tc>
          <w:tcPr>
            <w:tcW w:type="dxa" w:w="1474"/>
          </w:tcPr>
          <w:p>
            <w:r/>
            <w:r>
              <w:rPr>
                <w:sz w:val="17"/>
              </w:rPr>
              <w:t>€1,815m</w:t>
            </w:r>
          </w:p>
        </w:tc>
        <w:tc>
          <w:tcPr>
            <w:tcW w:type="dxa" w:w="1247"/>
          </w:tcPr>
          <w:p>
            <w:r/>
            <w:r>
              <w:rPr>
                <w:sz w:val="17"/>
              </w:rPr>
              <w:t>17.0%</w:t>
            </w:r>
          </w:p>
        </w:tc>
        <w:tc>
          <w:tcPr>
            <w:tcW w:type="dxa" w:w="1020"/>
          </w:tcPr>
          <w:p>
            <w:r/>
            <w:r>
              <w:rPr>
                <w:sz w:val="17"/>
              </w:rPr>
              <w:t>18.6%</w:t>
            </w:r>
          </w:p>
        </w:tc>
        <w:tc>
          <w:tcPr>
            <w:tcW w:type="dxa" w:w="907"/>
          </w:tcPr>
          <w:p>
            <w:r/>
            <w:r>
              <w:rPr>
                <w:sz w:val="17"/>
              </w:rPr>
              <w:t>3,142</w:t>
            </w:r>
          </w:p>
        </w:tc>
        <w:tc>
          <w:tcPr>
            <w:tcW w:type="dxa" w:w="1020"/>
          </w:tcPr>
          <w:p>
            <w:r/>
            <w:r>
              <w:rPr>
                <w:sz w:val="17"/>
              </w:rPr>
              <w:t>2,948</w:t>
            </w:r>
          </w:p>
        </w:tc>
        <w:tc>
          <w:tcPr>
            <w:tcW w:type="dxa" w:w="907"/>
          </w:tcPr>
          <w:p>
            <w:r/>
            <w:r>
              <w:rPr>
                <w:sz w:val="17"/>
              </w:rPr>
              <w:t>€4.77</w:t>
            </w:r>
          </w:p>
        </w:tc>
        <w:tc>
          <w:tcPr>
            <w:tcW w:type="dxa" w:w="907"/>
          </w:tcPr>
          <w:p>
            <w:r/>
            <w:r>
              <w:rPr>
                <w:sz w:val="17"/>
              </w:rPr>
              <w:t>+81%</w:t>
            </w:r>
          </w:p>
        </w:tc>
      </w:tr>
      <w:tr>
        <w:tc>
          <w:tcPr>
            <w:tcW w:type="dxa" w:w="1701"/>
          </w:tcPr>
          <w:p>
            <w:r/>
            <w:r>
              <w:rPr>
                <w:sz w:val="17"/>
              </w:rPr>
              <w:t>Prob-weighted 25/50/25</w:t>
            </w:r>
          </w:p>
        </w:tc>
        <w:tc>
          <w:tcPr>
            <w:tcW w:type="dxa" w:w="1474"/>
          </w:tcPr>
          <w:p>
            <w:r/>
            <w:r>
              <w:rPr>
                <w:sz w:val="17"/>
              </w:rPr>
            </w:r>
          </w:p>
        </w:tc>
        <w:tc>
          <w:tcPr>
            <w:tcW w:type="dxa" w:w="1247"/>
          </w:tcPr>
          <w:p>
            <w:r/>
            <w:r>
              <w:rPr>
                <w:sz w:val="17"/>
              </w:rPr>
            </w:r>
          </w:p>
        </w:tc>
        <w:tc>
          <w:tcPr>
            <w:tcW w:type="dxa" w:w="1020"/>
          </w:tcPr>
          <w:p>
            <w:r/>
            <w:r>
              <w:rPr>
                <w:sz w:val="17"/>
              </w:rPr>
            </w:r>
          </w:p>
        </w:tc>
        <w:tc>
          <w:tcPr>
            <w:tcW w:type="dxa" w:w="907"/>
          </w:tcPr>
          <w:p>
            <w:r/>
            <w:r>
              <w:rPr>
                <w:sz w:val="17"/>
              </w:rPr>
            </w:r>
          </w:p>
        </w:tc>
        <w:tc>
          <w:tcPr>
            <w:tcW w:type="dxa" w:w="1020"/>
          </w:tcPr>
          <w:p>
            <w:r/>
            <w:r>
              <w:rPr>
                <w:sz w:val="17"/>
              </w:rPr>
            </w:r>
          </w:p>
        </w:tc>
        <w:tc>
          <w:tcPr>
            <w:tcW w:type="dxa" w:w="907"/>
          </w:tcPr>
          <w:p>
            <w:r/>
            <w:r>
              <w:rPr>
                <w:sz w:val="17"/>
              </w:rPr>
              <w:t>€3.56</w:t>
            </w:r>
          </w:p>
        </w:tc>
        <w:tc>
          <w:tcPr>
            <w:tcW w:type="dxa" w:w="907"/>
          </w:tcPr>
          <w:p>
            <w:r/>
            <w:r>
              <w:rPr>
                <w:sz w:val="17"/>
              </w:rPr>
              <w:t>+35%</w:t>
            </w:r>
          </w:p>
        </w:tc>
      </w:tr>
      <w:tr>
        <w:tc>
          <w:tcPr>
            <w:tcW w:type="dxa" w:w="1701"/>
          </w:tcPr>
          <w:p>
            <w:r/>
            <w:r>
              <w:rPr>
                <w:sz w:val="17"/>
              </w:rPr>
              <w:t>Cycle stress (not spec)</w:t>
            </w:r>
          </w:p>
        </w:tc>
        <w:tc>
          <w:tcPr>
            <w:tcW w:type="dxa" w:w="1474"/>
          </w:tcPr>
          <w:p>
            <w:r/>
            <w:r>
              <w:rPr>
                <w:sz w:val="17"/>
              </w:rPr>
              <w:t>Rev −20% in 2028, −10% in 2029; margin 10–12%</w:t>
            </w:r>
          </w:p>
        </w:tc>
        <w:tc>
          <w:tcPr>
            <w:tcW w:type="dxa" w:w="1247"/>
          </w:tcPr>
          <w:p>
            <w:r/>
            <w:r>
              <w:rPr>
                <w:sz w:val="17"/>
              </w:rPr>
              <w:t>15.0%</w:t>
            </w:r>
          </w:p>
        </w:tc>
        <w:tc>
          <w:tcPr>
            <w:tcW w:type="dxa" w:w="1020"/>
          </w:tcPr>
          <w:p>
            <w:r/>
            <w:r>
              <w:rPr>
                <w:sz w:val="17"/>
              </w:rPr>
              <w:t>13.1%</w:t>
            </w:r>
          </w:p>
        </w:tc>
        <w:tc>
          <w:tcPr>
            <w:tcW w:type="dxa" w:w="907"/>
          </w:tcPr>
          <w:p>
            <w:r/>
            <w:r>
              <w:rPr>
                <w:sz w:val="17"/>
              </w:rPr>
              <w:t>1,757</w:t>
            </w:r>
          </w:p>
        </w:tc>
        <w:tc>
          <w:tcPr>
            <w:tcW w:type="dxa" w:w="1020"/>
          </w:tcPr>
          <w:p>
            <w:r/>
            <w:r>
              <w:rPr>
                <w:sz w:val="17"/>
              </w:rPr>
              <w:t>1,562</w:t>
            </w:r>
          </w:p>
        </w:tc>
        <w:tc>
          <w:tcPr>
            <w:tcW w:type="dxa" w:w="907"/>
          </w:tcPr>
          <w:p>
            <w:r/>
            <w:r>
              <w:rPr>
                <w:sz w:val="17"/>
              </w:rPr>
              <w:t>€2.53</w:t>
            </w:r>
          </w:p>
        </w:tc>
        <w:tc>
          <w:tcPr>
            <w:tcW w:type="dxa" w:w="907"/>
          </w:tcPr>
          <w:p>
            <w:r/>
            <w:r>
              <w:rPr>
                <w:sz w:val="17"/>
              </w:rPr>
              <w:t>−4%</w:t>
            </w:r>
          </w:p>
        </w:tc>
      </w:tr>
    </w:tbl>
    <w:p/>
    <w:p>
      <w:pPr>
        <w:pStyle w:val="ListBullet"/>
      </w:pPr>
      <w:r>
        <w:t>Equity = EV − €194.5m net debt (30 Jun 2026); 618.4m shares. Terminal value = 66–68% of EV in all scenarios (below the 80% flag).</w:t>
      </w:r>
    </w:p>
    <w:p>
      <w:pPr>
        <w:pStyle w:val="ListBullet"/>
      </w:pPr>
      <w:r>
        <w:t>Why the cycle stress is valued so close to today's price: in a downturn a housebuilder releases cash by running inventory down (FCFF €355m in 2028 in the stress case). The stress does not model land write-downs. In 2008–12 Irish builders lost far more than this, so the stress is not a worst case.</w:t>
      </w:r>
    </w:p>
    <w:p>
      <w:pPr>
        <w:pStyle w:val="ListBullet"/>
      </w:pPr>
      <w:r>
        <w:t>⚠ Exit-multiple cross-check (Koller Method 2): the base KVD terminal value implies 11.8× 2033 EBITDA. UK/Irish peers trade at about 7–8× (Persimmon 8.3×, Taylor Wimpey 7.1×, Barratt Redrow 8.2×). An 8× exit multiple gives €2.79/share, a 32% gap in terminal value. That exceeds the spec's 30% re-examination threshold. Part of the gap is justified: UK peers earn 4–9% ROE against Cairn's 16–18%, so their multiples are depressed by a trough. But it means the €3.62 base is the generous end of reasonable.</w:t>
      </w:r>
    </w:p>
    <w:p>
      <w:pPr>
        <w:pStyle w:val="ListBullet"/>
      </w:pPr>
      <w:r>
        <w:t>P/B–ROE cross-check (justified P/B = (ROE − g)/(Ke − g), Ke 8.95%, g 2.5%, BVPS €1.39): at the 17% guided ROE → €3.13; at 16.5% → €3.02; at a 14% through-cycle ROE → €2.48; at 12% → €2.05. Today's price implies a sustained ROE of c.14.7%.</w:t>
      </w:r>
    </w:p>
    <w:p>
      <w:pPr>
        <w:pStyle w:val="Heading2"/>
      </w:pPr>
      <w:r>
        <w:t>MoS Gate</w:t>
      </w:r>
    </w:p>
    <w:p>
      <w:r>
        <w:rPr>
          <w:b w:val="0"/>
          <w:i w:val="0"/>
        </w:rPr>
        <w:t>Price €2.64 is above Bear (€2.21) and below Base (€3.62). MoS Gate = BASE. The cushion to Base is +37% on the DCF, but only +6% (exit multiple) or +14% (P/B at 16.5% ROE) on the cross-checks. Treat the BASE gate as passed, but not with a wide margin.</w:t>
      </w:r>
    </w:p>
    <w:p>
      <w:pPr>
        <w:pStyle w:val="Heading2"/>
      </w:pPr>
      <w:r>
        <w:t>Sensitivity — WACC × terminal growth (Base case, €/share)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701"/>
            <w:shd w:val="clear" w:color="auto" w:fill="D9E2F3"/>
          </w:tcPr>
          <w:p>
            <w:r/>
            <w:r>
              <w:rPr>
                <w:b/>
                <w:sz w:val="17"/>
              </w:rPr>
              <w:t>WACC \ g</w:t>
            </w:r>
          </w:p>
        </w:tc>
        <w:tc>
          <w:tcPr>
            <w:tcW w:type="dxa" w:w="1417"/>
            <w:shd w:val="clear" w:color="auto" w:fill="D9E2F3"/>
          </w:tcPr>
          <w:p>
            <w:r/>
            <w:r>
              <w:rPr>
                <w:b/>
                <w:sz w:val="17"/>
              </w:rPr>
              <w:t>1.0%</w:t>
            </w:r>
          </w:p>
        </w:tc>
        <w:tc>
          <w:tcPr>
            <w:tcW w:type="dxa" w:w="1417"/>
            <w:shd w:val="clear" w:color="auto" w:fill="D9E2F3"/>
          </w:tcPr>
          <w:p>
            <w:r/>
            <w:r>
              <w:rPr>
                <w:b/>
                <w:sz w:val="17"/>
              </w:rPr>
              <w:t>2.0%</w:t>
            </w:r>
          </w:p>
        </w:tc>
        <w:tc>
          <w:tcPr>
            <w:tcW w:type="dxa" w:w="1417"/>
            <w:shd w:val="clear" w:color="auto" w:fill="D9E2F3"/>
          </w:tcPr>
          <w:p>
            <w:r/>
            <w:r>
              <w:rPr>
                <w:b/>
                <w:sz w:val="17"/>
              </w:rPr>
              <w:t>2.5%</w:t>
            </w:r>
          </w:p>
        </w:tc>
        <w:tc>
          <w:tcPr>
            <w:tcW w:type="dxa" w:w="1417"/>
            <w:shd w:val="clear" w:color="auto" w:fill="D9E2F3"/>
          </w:tcPr>
          <w:p>
            <w:r/>
            <w:r>
              <w:rPr>
                <w:b/>
                <w:sz w:val="17"/>
              </w:rPr>
              <w:t>3.0%</w:t>
            </w:r>
          </w:p>
        </w:tc>
      </w:tr>
      <w:tr>
        <w:tc>
          <w:tcPr>
            <w:tcW w:type="dxa" w:w="1701"/>
          </w:tcPr>
          <w:p>
            <w:r/>
            <w:r>
              <w:rPr>
                <w:sz w:val="17"/>
              </w:rPr>
              <w:t>7.0%</w:t>
            </w:r>
          </w:p>
        </w:tc>
        <w:tc>
          <w:tcPr>
            <w:tcW w:type="dxa" w:w="1417"/>
          </w:tcPr>
          <w:p>
            <w:r/>
            <w:r>
              <w:rPr>
                <w:sz w:val="17"/>
              </w:rPr>
              <w:t>4.29</w:t>
            </w:r>
          </w:p>
        </w:tc>
        <w:tc>
          <w:tcPr>
            <w:tcW w:type="dxa" w:w="1417"/>
          </w:tcPr>
          <w:p>
            <w:r/>
            <w:r>
              <w:rPr>
                <w:sz w:val="17"/>
              </w:rPr>
              <w:t>4.58</w:t>
            </w:r>
          </w:p>
        </w:tc>
        <w:tc>
          <w:tcPr>
            <w:tcW w:type="dxa" w:w="1417"/>
          </w:tcPr>
          <w:p>
            <w:r/>
            <w:r>
              <w:rPr>
                <w:sz w:val="17"/>
              </w:rPr>
              <w:t>4.77</w:t>
            </w:r>
          </w:p>
        </w:tc>
        <w:tc>
          <w:tcPr>
            <w:tcW w:type="dxa" w:w="1417"/>
          </w:tcPr>
          <w:p>
            <w:r/>
            <w:r>
              <w:rPr>
                <w:sz w:val="17"/>
              </w:rPr>
              <w:t>5.01</w:t>
            </w:r>
          </w:p>
        </w:tc>
      </w:tr>
      <w:tr>
        <w:tc>
          <w:tcPr>
            <w:tcW w:type="dxa" w:w="1701"/>
          </w:tcPr>
          <w:p>
            <w:r/>
            <w:r>
              <w:rPr>
                <w:sz w:val="17"/>
              </w:rPr>
              <w:t>8.0%</w:t>
            </w:r>
          </w:p>
        </w:tc>
        <w:tc>
          <w:tcPr>
            <w:tcW w:type="dxa" w:w="1417"/>
          </w:tcPr>
          <w:p>
            <w:r/>
            <w:r>
              <w:rPr>
                <w:sz w:val="17"/>
              </w:rPr>
              <w:t>3.60</w:t>
            </w:r>
          </w:p>
        </w:tc>
        <w:tc>
          <w:tcPr>
            <w:tcW w:type="dxa" w:w="1417"/>
          </w:tcPr>
          <w:p>
            <w:r/>
            <w:r>
              <w:rPr>
                <w:sz w:val="17"/>
              </w:rPr>
              <w:t>3.76</w:t>
            </w:r>
          </w:p>
        </w:tc>
        <w:tc>
          <w:tcPr>
            <w:tcW w:type="dxa" w:w="1417"/>
          </w:tcPr>
          <w:p>
            <w:r/>
            <w:r>
              <w:rPr>
                <w:sz w:val="17"/>
              </w:rPr>
              <w:t>3.85</w:t>
            </w:r>
          </w:p>
        </w:tc>
        <w:tc>
          <w:tcPr>
            <w:tcW w:type="dxa" w:w="1417"/>
          </w:tcPr>
          <w:p>
            <w:r/>
            <w:r>
              <w:rPr>
                <w:sz w:val="17"/>
              </w:rPr>
              <w:t>3.97</w:t>
            </w:r>
          </w:p>
        </w:tc>
      </w:tr>
      <w:tr>
        <w:tc>
          <w:tcPr>
            <w:tcW w:type="dxa" w:w="1701"/>
          </w:tcPr>
          <w:p>
            <w:r/>
            <w:r>
              <w:rPr>
                <w:sz w:val="17"/>
              </w:rPr>
              <w:t>8.32% (base)</w:t>
            </w:r>
          </w:p>
        </w:tc>
        <w:tc>
          <w:tcPr>
            <w:tcW w:type="dxa" w:w="1417"/>
          </w:tcPr>
          <w:p>
            <w:r/>
            <w:r>
              <w:rPr>
                <w:sz w:val="17"/>
              </w:rPr>
              <w:t>3.43</w:t>
            </w:r>
          </w:p>
        </w:tc>
        <w:tc>
          <w:tcPr>
            <w:tcW w:type="dxa" w:w="1417"/>
          </w:tcPr>
          <w:p>
            <w:r/>
            <w:r>
              <w:rPr>
                <w:sz w:val="17"/>
              </w:rPr>
              <w:t>3.56</w:t>
            </w:r>
          </w:p>
        </w:tc>
        <w:tc>
          <w:tcPr>
            <w:tcW w:type="dxa" w:w="1417"/>
          </w:tcPr>
          <w:p>
            <w:r/>
            <w:r>
              <w:rPr>
                <w:sz w:val="17"/>
              </w:rPr>
              <w:t>3.64*</w:t>
            </w:r>
          </w:p>
        </w:tc>
        <w:tc>
          <w:tcPr>
            <w:tcW w:type="dxa" w:w="1417"/>
          </w:tcPr>
          <w:p>
            <w:r/>
            <w:r>
              <w:rPr>
                <w:sz w:val="17"/>
              </w:rPr>
              <w:t>3.73</w:t>
            </w:r>
          </w:p>
        </w:tc>
      </w:tr>
      <w:tr>
        <w:tc>
          <w:tcPr>
            <w:tcW w:type="dxa" w:w="1701"/>
          </w:tcPr>
          <w:p>
            <w:r/>
            <w:r>
              <w:rPr>
                <w:sz w:val="17"/>
              </w:rPr>
              <w:t>9.0%</w:t>
            </w:r>
          </w:p>
        </w:tc>
        <w:tc>
          <w:tcPr>
            <w:tcW w:type="dxa" w:w="1417"/>
          </w:tcPr>
          <w:p>
            <w:r/>
            <w:r>
              <w:rPr>
                <w:sz w:val="17"/>
              </w:rPr>
              <w:t>3.09</w:t>
            </w:r>
          </w:p>
        </w:tc>
        <w:tc>
          <w:tcPr>
            <w:tcW w:type="dxa" w:w="1417"/>
          </w:tcPr>
          <w:p>
            <w:r/>
            <w:r>
              <w:rPr>
                <w:sz w:val="17"/>
              </w:rPr>
              <w:t>3.17</w:t>
            </w:r>
          </w:p>
        </w:tc>
        <w:tc>
          <w:tcPr>
            <w:tcW w:type="dxa" w:w="1417"/>
          </w:tcPr>
          <w:p>
            <w:r/>
            <w:r>
              <w:rPr>
                <w:sz w:val="17"/>
              </w:rPr>
              <w:t>3.22</w:t>
            </w:r>
          </w:p>
        </w:tc>
        <w:tc>
          <w:tcPr>
            <w:tcW w:type="dxa" w:w="1417"/>
          </w:tcPr>
          <w:p>
            <w:r/>
            <w:r>
              <w:rPr>
                <w:sz w:val="17"/>
              </w:rPr>
              <w:t>3.27</w:t>
            </w:r>
          </w:p>
        </w:tc>
      </w:tr>
      <w:tr>
        <w:tc>
          <w:tcPr>
            <w:tcW w:type="dxa" w:w="1701"/>
          </w:tcPr>
          <w:p>
            <w:r/>
            <w:r>
              <w:rPr>
                <w:sz w:val="17"/>
              </w:rPr>
              <w:t>10.0%</w:t>
            </w:r>
          </w:p>
        </w:tc>
        <w:tc>
          <w:tcPr>
            <w:tcW w:type="dxa" w:w="1417"/>
          </w:tcPr>
          <w:p>
            <w:r/>
            <w:r>
              <w:rPr>
                <w:sz w:val="17"/>
              </w:rPr>
              <w:t>2.69</w:t>
            </w:r>
          </w:p>
        </w:tc>
        <w:tc>
          <w:tcPr>
            <w:tcW w:type="dxa" w:w="1417"/>
          </w:tcPr>
          <w:p>
            <w:r/>
            <w:r>
              <w:rPr>
                <w:sz w:val="17"/>
              </w:rPr>
              <w:t>2.73</w:t>
            </w:r>
          </w:p>
        </w:tc>
        <w:tc>
          <w:tcPr>
            <w:tcW w:type="dxa" w:w="1417"/>
          </w:tcPr>
          <w:p>
            <w:r/>
            <w:r>
              <w:rPr>
                <w:sz w:val="17"/>
              </w:rPr>
              <w:t>2.75</w:t>
            </w:r>
          </w:p>
        </w:tc>
        <w:tc>
          <w:tcPr>
            <w:tcW w:type="dxa" w:w="1417"/>
          </w:tcPr>
          <w:p>
            <w:r/>
            <w:r>
              <w:rPr>
                <w:sz w:val="17"/>
              </w:rPr>
              <w:t>2.77</w:t>
            </w:r>
          </w:p>
        </w:tc>
      </w:tr>
    </w:tbl>
    <w:p/>
    <w:p>
      <w:r>
        <w:rPr>
          <w:b w:val="0"/>
          <w:i/>
          <w:sz w:val="16"/>
        </w:rPr>
        <w:t>*€3.64 vs €3.62 headline: rounding in the WACC grid. The price is only above Base value at WACC ≥ c.10.5%.</w:t>
      </w:r>
    </w:p>
    <w:p>
      <w:pPr>
        <w:pStyle w:val="Heading2"/>
      </w:pPr>
      <w:r>
        <w:t>Sensitivity — revenue growth × NOPLAT margin (Base case, €/share)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268"/>
            <w:shd w:val="clear" w:color="auto" w:fill="D9E2F3"/>
          </w:tcPr>
          <w:p>
            <w:r/>
            <w:r>
              <w:rPr>
                <w:b/>
                <w:sz w:val="17"/>
              </w:rPr>
              <w:t>Growth multiplier \ margin Δ</w:t>
            </w:r>
          </w:p>
        </w:tc>
        <w:tc>
          <w:tcPr>
            <w:tcW w:type="dxa" w:w="1417"/>
            <w:shd w:val="clear" w:color="auto" w:fill="D9E2F3"/>
          </w:tcPr>
          <w:p>
            <w:r/>
            <w:r>
              <w:rPr>
                <w:b/>
                <w:sz w:val="17"/>
              </w:rPr>
              <w:t>−300 bps</w:t>
            </w:r>
          </w:p>
        </w:tc>
        <w:tc>
          <w:tcPr>
            <w:tcW w:type="dxa" w:w="1417"/>
            <w:shd w:val="clear" w:color="auto" w:fill="D9E2F3"/>
          </w:tcPr>
          <w:p>
            <w:r/>
            <w:r>
              <w:rPr>
                <w:b/>
                <w:sz w:val="17"/>
              </w:rPr>
              <w:t>−150 bps</w:t>
            </w:r>
          </w:p>
        </w:tc>
        <w:tc>
          <w:tcPr>
            <w:tcW w:type="dxa" w:w="1417"/>
            <w:shd w:val="clear" w:color="auto" w:fill="D9E2F3"/>
          </w:tcPr>
          <w:p>
            <w:r/>
            <w:r>
              <w:rPr>
                <w:b/>
                <w:sz w:val="17"/>
              </w:rPr>
              <w:t>0</w:t>
            </w:r>
          </w:p>
        </w:tc>
        <w:tc>
          <w:tcPr>
            <w:tcW w:type="dxa" w:w="1417"/>
            <w:shd w:val="clear" w:color="auto" w:fill="D9E2F3"/>
          </w:tcPr>
          <w:p>
            <w:r/>
            <w:r>
              <w:rPr>
                <w:b/>
                <w:sz w:val="17"/>
              </w:rPr>
              <w:t>+200 bps</w:t>
            </w:r>
          </w:p>
        </w:tc>
      </w:tr>
      <w:tr>
        <w:tc>
          <w:tcPr>
            <w:tcW w:type="dxa" w:w="2268"/>
          </w:tcPr>
          <w:p>
            <w:r/>
            <w:r>
              <w:rPr>
                <w:sz w:val="17"/>
              </w:rPr>
              <w:t>×0.7</w:t>
            </w:r>
          </w:p>
        </w:tc>
        <w:tc>
          <w:tcPr>
            <w:tcW w:type="dxa" w:w="1417"/>
          </w:tcPr>
          <w:p>
            <w:r/>
            <w:r>
              <w:rPr>
                <w:sz w:val="17"/>
              </w:rPr>
              <w:t>2.65</w:t>
            </w:r>
          </w:p>
        </w:tc>
        <w:tc>
          <w:tcPr>
            <w:tcW w:type="dxa" w:w="1417"/>
          </w:tcPr>
          <w:p>
            <w:r/>
            <w:r>
              <w:rPr>
                <w:sz w:val="17"/>
              </w:rPr>
              <w:t>3.03</w:t>
            </w:r>
          </w:p>
        </w:tc>
        <w:tc>
          <w:tcPr>
            <w:tcW w:type="dxa" w:w="1417"/>
          </w:tcPr>
          <w:p>
            <w:r/>
            <w:r>
              <w:rPr>
                <w:sz w:val="17"/>
              </w:rPr>
              <w:t>3.40</w:t>
            </w:r>
          </w:p>
        </w:tc>
        <w:tc>
          <w:tcPr>
            <w:tcW w:type="dxa" w:w="1417"/>
          </w:tcPr>
          <w:p>
            <w:r/>
            <w:r>
              <w:rPr>
                <w:sz w:val="17"/>
              </w:rPr>
              <w:t>3.90</w:t>
            </w:r>
          </w:p>
        </w:tc>
      </w:tr>
      <w:tr>
        <w:tc>
          <w:tcPr>
            <w:tcW w:type="dxa" w:w="2268"/>
          </w:tcPr>
          <w:p>
            <w:r/>
            <w:r>
              <w:rPr>
                <w:sz w:val="17"/>
              </w:rPr>
              <w:t>×1.0 (base)</w:t>
            </w:r>
          </w:p>
        </w:tc>
        <w:tc>
          <w:tcPr>
            <w:tcW w:type="dxa" w:w="1417"/>
          </w:tcPr>
          <w:p>
            <w:r/>
            <w:r>
              <w:rPr>
                <w:sz w:val="17"/>
              </w:rPr>
              <w:t>2.79</w:t>
            </w:r>
          </w:p>
        </w:tc>
        <w:tc>
          <w:tcPr>
            <w:tcW w:type="dxa" w:w="1417"/>
          </w:tcPr>
          <w:p>
            <w:r/>
            <w:r>
              <w:rPr>
                <w:sz w:val="17"/>
              </w:rPr>
              <w:t>3.21</w:t>
            </w:r>
          </w:p>
        </w:tc>
        <w:tc>
          <w:tcPr>
            <w:tcW w:type="dxa" w:w="1417"/>
          </w:tcPr>
          <w:p>
            <w:r/>
            <w:r>
              <w:rPr>
                <w:sz w:val="17"/>
              </w:rPr>
              <w:t>3.62</w:t>
            </w:r>
          </w:p>
        </w:tc>
        <w:tc>
          <w:tcPr>
            <w:tcW w:type="dxa" w:w="1417"/>
          </w:tcPr>
          <w:p>
            <w:r/>
            <w:r>
              <w:rPr>
                <w:sz w:val="17"/>
              </w:rPr>
              <w:t>4.18</w:t>
            </w:r>
          </w:p>
        </w:tc>
      </w:tr>
      <w:tr>
        <w:tc>
          <w:tcPr>
            <w:tcW w:type="dxa" w:w="2268"/>
          </w:tcPr>
          <w:p>
            <w:r/>
            <w:r>
              <w:rPr>
                <w:sz w:val="17"/>
              </w:rPr>
              <w:t>×1.3</w:t>
            </w:r>
          </w:p>
        </w:tc>
        <w:tc>
          <w:tcPr>
            <w:tcW w:type="dxa" w:w="1417"/>
          </w:tcPr>
          <w:p>
            <w:r/>
            <w:r>
              <w:rPr>
                <w:sz w:val="17"/>
              </w:rPr>
              <w:t>2.94</w:t>
            </w:r>
          </w:p>
        </w:tc>
        <w:tc>
          <w:tcPr>
            <w:tcW w:type="dxa" w:w="1417"/>
          </w:tcPr>
          <w:p>
            <w:r/>
            <w:r>
              <w:rPr>
                <w:sz w:val="17"/>
              </w:rPr>
              <w:t>3.40</w:t>
            </w:r>
          </w:p>
        </w:tc>
        <w:tc>
          <w:tcPr>
            <w:tcW w:type="dxa" w:w="1417"/>
          </w:tcPr>
          <w:p>
            <w:r/>
            <w:r>
              <w:rPr>
                <w:sz w:val="17"/>
              </w:rPr>
              <w:t>3.87</w:t>
            </w:r>
          </w:p>
        </w:tc>
        <w:tc>
          <w:tcPr>
            <w:tcW w:type="dxa" w:w="1417"/>
          </w:tcPr>
          <w:p>
            <w:r/>
            <w:r>
              <w:rPr>
                <w:sz w:val="17"/>
              </w:rPr>
              <w:t>4.48</w:t>
            </w:r>
          </w:p>
        </w:tc>
      </w:tr>
    </w:tbl>
    <w:p/>
    <w:p>
      <w:r>
        <w:rPr>
          <w:b w:val="0"/>
          <w:i w:val="0"/>
        </w:rPr>
        <w:t>Margin dominates growth: −300 bps of margin costs about €0.83/share, while ×0.7 growth costs about €0.22. The thesis is a margin-durability bet, not a growth bet.</w:t>
      </w:r>
    </w:p>
    <w:p>
      <w:pPr>
        <w:pStyle w:val="Heading1"/>
      </w:pPr>
      <w:r>
        <w:t>6. Mauboussin — Price-Implied Expectations</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D9E2F3"/>
          </w:tcPr>
          <w:p>
            <w:r/>
            <w:r>
              <w:rPr>
                <w:b/>
                <w:sz w:val="17"/>
              </w:rPr>
              <w:t>Beta / WACC</w:t>
            </w:r>
          </w:p>
        </w:tc>
        <w:tc>
          <w:tcPr>
            <w:tcW w:type="dxa" w:w="1701"/>
            <w:shd w:val="clear" w:color="auto" w:fill="D9E2F3"/>
          </w:tcPr>
          <w:p>
            <w:r/>
            <w:r>
              <w:rPr>
                <w:b/>
                <w:sz w:val="17"/>
              </w:rPr>
              <w:t>Base DCF value</w:t>
            </w:r>
          </w:p>
        </w:tc>
        <w:tc>
          <w:tcPr>
            <w:tcW w:type="dxa" w:w="3118"/>
            <w:shd w:val="clear" w:color="auto" w:fill="D9E2F3"/>
          </w:tcPr>
          <w:p>
            <w:r/>
            <w:r>
              <w:rPr>
                <w:b/>
                <w:sz w:val="17"/>
              </w:rPr>
              <w:t>Terminal (2033) EBIT margin implied by €2.64, base growth</w:t>
            </w:r>
          </w:p>
        </w:tc>
        <w:tc>
          <w:tcPr>
            <w:tcW w:type="dxa" w:w="3118"/>
            <w:shd w:val="clear" w:color="auto" w:fill="D9E2F3"/>
          </w:tcPr>
          <w:p>
            <w:r/>
            <w:r>
              <w:rPr>
                <w:b/>
                <w:sz w:val="17"/>
              </w:rPr>
              <w:t>Growth multiplier implied at base margins</w:t>
            </w:r>
          </w:p>
        </w:tc>
      </w:tr>
      <w:tr>
        <w:tc>
          <w:tcPr>
            <w:tcW w:type="dxa" w:w="1701"/>
          </w:tcPr>
          <w:p>
            <w:r/>
            <w:r>
              <w:rPr>
                <w:sz w:val="17"/>
              </w:rPr>
              <w:t>0.74 / 6.76%</w:t>
            </w:r>
          </w:p>
        </w:tc>
        <w:tc>
          <w:tcPr>
            <w:tcW w:type="dxa" w:w="1701"/>
          </w:tcPr>
          <w:p>
            <w:r/>
            <w:r>
              <w:rPr>
                <w:sz w:val="17"/>
              </w:rPr>
              <w:t>€5.06</w:t>
            </w:r>
          </w:p>
        </w:tc>
        <w:tc>
          <w:tcPr>
            <w:tcW w:type="dxa" w:w="3118"/>
          </w:tcPr>
          <w:p>
            <w:r/>
            <w:r>
              <w:rPr>
                <w:sz w:val="17"/>
              </w:rPr>
              <w:t>8.5%</w:t>
            </w:r>
          </w:p>
        </w:tc>
        <w:tc>
          <w:tcPr>
            <w:tcW w:type="dxa" w:w="3118"/>
          </w:tcPr>
          <w:p>
            <w:r/>
            <w:r>
              <w:rPr>
                <w:sz w:val="17"/>
              </w:rPr>
              <w:t>negative (price implies shrinkage)</w:t>
            </w:r>
          </w:p>
        </w:tc>
      </w:tr>
      <w:tr>
        <w:tc>
          <w:tcPr>
            <w:tcW w:type="dxa" w:w="1701"/>
          </w:tcPr>
          <w:p>
            <w:r/>
            <w:r>
              <w:rPr>
                <w:sz w:val="17"/>
              </w:rPr>
              <w:t>1.10 / 8.32%</w:t>
            </w:r>
          </w:p>
        </w:tc>
        <w:tc>
          <w:tcPr>
            <w:tcW w:type="dxa" w:w="1701"/>
          </w:tcPr>
          <w:p>
            <w:r/>
            <w:r>
              <w:rPr>
                <w:sz w:val="17"/>
              </w:rPr>
              <w:t>€3.62</w:t>
            </w:r>
          </w:p>
        </w:tc>
        <w:tc>
          <w:tcPr>
            <w:tcW w:type="dxa" w:w="3118"/>
          </w:tcPr>
          <w:p>
            <w:r/>
            <w:r>
              <w:rPr>
                <w:sz w:val="17"/>
              </w:rPr>
              <w:t>11.4%</w:t>
            </w:r>
          </w:p>
        </w:tc>
        <w:tc>
          <w:tcPr>
            <w:tcW w:type="dxa" w:w="3118"/>
          </w:tcPr>
          <w:p>
            <w:r/>
            <w:r>
              <w:rPr>
                <w:sz w:val="17"/>
              </w:rPr>
              <w:t>−0.6× (revenue declining from 2027 guide)</w:t>
            </w:r>
          </w:p>
        </w:tc>
      </w:tr>
      <w:tr>
        <w:tc>
          <w:tcPr>
            <w:tcW w:type="dxa" w:w="1701"/>
          </w:tcPr>
          <w:p>
            <w:r/>
            <w:r>
              <w:rPr>
                <w:sz w:val="17"/>
              </w:rPr>
              <w:t>1.40 / 9.62%</w:t>
            </w:r>
          </w:p>
        </w:tc>
        <w:tc>
          <w:tcPr>
            <w:tcW w:type="dxa" w:w="1701"/>
          </w:tcPr>
          <w:p>
            <w:r/>
            <w:r>
              <w:rPr>
                <w:sz w:val="17"/>
              </w:rPr>
              <w:t>€2.91</w:t>
            </w:r>
          </w:p>
        </w:tc>
        <w:tc>
          <w:tcPr>
            <w:tcW w:type="dxa" w:w="3118"/>
          </w:tcPr>
          <w:p>
            <w:r/>
            <w:r>
              <w:rPr>
                <w:sz w:val="17"/>
              </w:rPr>
              <w:t>13.8%</w:t>
            </w:r>
          </w:p>
        </w:tc>
        <w:tc>
          <w:tcPr>
            <w:tcW w:type="dxa" w:w="3118"/>
          </w:tcPr>
          <w:p>
            <w:r/>
            <w:r>
              <w:rPr>
                <w:sz w:val="17"/>
              </w:rPr>
              <w:t>0.44× base growth</w:t>
            </w:r>
          </w:p>
        </w:tc>
      </w:tr>
    </w:tbl>
    <w:p/>
    <w:p>
      <w:r>
        <w:rPr>
          <w:b w:val="0"/>
          <w:i w:val="0"/>
        </w:rPr>
        <w:t>What has to be true for €2.64: at the base WACC, the market prices in a long-run operating margin of about 11.4%, against 17.8% today and roughly 13.8–17.8% over FY21–25. Alternatively, it prices in no volume growth beyond the guided 2026 base. Only at a 9.6% WACC is the price roughly consistent with management's volume plan. In plain terms, the market already prices in a substantial cyclical margin giveback. Asymmetry is positive if Irish undersupply keeps margins above c.14% through 2033. That has been true for 5 years, but it is only one part of the cycle.</w:t>
      </w:r>
    </w:p>
    <w:p>
      <w:r>
        <w:rPr>
          <w:b w:val="0"/>
          <w:i w:val="0"/>
        </w:rPr>
        <w:t>Base-rate check: after a 60% H1 jump, regression to the mean predicts lower growth. The base case already has growth falling from 15.7% (unit-guided) to 3%. Margin: companies guiding to expansion usually deliver about half, so the base case has margins contracting from 17.3% to 15%, not expanding.</w:t>
      </w:r>
    </w:p>
    <w:p>
      <w:r>
        <w:rPr>
          <w:b w:val="0"/>
          <w:i w:val="0"/>
        </w:rPr>
        <w:t>Moat and CAP: NARROW moat, CAP 3–7 years. Sources: (1) a scale cost advantage in procurement and overheads (H1 opex +7% vs revenue +60%), (2) an 18,000-unit land bank bought at an average €37k per plot (≈9% of ASP), with about 75% holding full planning or in the planning process (planning is Ireland's binding constraint), and (3) entrenched relationships with state buyers. All three can be replicated with time and capital; none is a switching-cost or network moat. CAP is earned for the land bank (6+ years of supply at 2,800 units a year) but conditional on planning and state-demand policy continuing.</w:t>
      </w:r>
    </w:p>
    <w:p>
      <w:pPr>
        <w:pStyle w:val="Heading1"/>
      </w:pPr>
      <w:r>
        <w:t>7. Fisher — Qualitative Checklist (points the data speaks to)</w:t>
      </w:r>
    </w:p>
    <w:tbl>
      <w:tblPr>
        <w:tblStyle w:val="TableGrid"/>
        <w:tblW w:type="auto" w:w="0"/>
        <w:tblLook w:firstColumn="1" w:firstRow="1" w:lastColumn="0" w:lastRow="0" w:noHBand="0" w:noVBand="1" w:val="04A0"/>
      </w:tblPr>
      <w:tblGrid>
        <w:gridCol w:w="2493"/>
        <w:gridCol w:w="2493"/>
        <w:gridCol w:w="2493"/>
        <w:gridCol w:w="2493"/>
      </w:tblGrid>
      <w:tr>
        <w:tc>
          <w:tcPr>
            <w:tcW w:type="dxa" w:w="454"/>
            <w:shd w:val="clear" w:color="auto" w:fill="D9E2F3"/>
          </w:tcPr>
          <w:p>
            <w:r/>
            <w:r>
              <w:rPr>
                <w:b/>
                <w:sz w:val="17"/>
              </w:rPr>
              <w:t>#</w:t>
            </w:r>
          </w:p>
        </w:tc>
        <w:tc>
          <w:tcPr>
            <w:tcW w:type="dxa" w:w="2098"/>
            <w:shd w:val="clear" w:color="auto" w:fill="D9E2F3"/>
          </w:tcPr>
          <w:p>
            <w:r/>
            <w:r>
              <w:rPr>
                <w:b/>
                <w:sz w:val="17"/>
              </w:rPr>
              <w:t>Point</w:t>
            </w:r>
          </w:p>
        </w:tc>
        <w:tc>
          <w:tcPr>
            <w:tcW w:type="dxa" w:w="1020"/>
            <w:shd w:val="clear" w:color="auto" w:fill="D9E2F3"/>
          </w:tcPr>
          <w:p>
            <w:r/>
            <w:r>
              <w:rPr>
                <w:b/>
                <w:sz w:val="17"/>
              </w:rPr>
              <w:t>Read</w:t>
            </w:r>
          </w:p>
        </w:tc>
        <w:tc>
          <w:tcPr>
            <w:tcW w:type="dxa" w:w="6066"/>
            <w:shd w:val="clear" w:color="auto" w:fill="D9E2F3"/>
          </w:tcPr>
          <w:p>
            <w:r/>
            <w:r>
              <w:rPr>
                <w:b/>
                <w:sz w:val="17"/>
              </w:rPr>
              <w:t>Evidence</w:t>
            </w:r>
          </w:p>
        </w:tc>
      </w:tr>
      <w:tr>
        <w:tc>
          <w:tcPr>
            <w:tcW w:type="dxa" w:w="454"/>
          </w:tcPr>
          <w:p>
            <w:r/>
            <w:r>
              <w:rPr>
                <w:sz w:val="17"/>
              </w:rPr>
              <w:t>1</w:t>
            </w:r>
          </w:p>
        </w:tc>
        <w:tc>
          <w:tcPr>
            <w:tcW w:type="dxa" w:w="2098"/>
          </w:tcPr>
          <w:p>
            <w:r/>
            <w:r>
              <w:rPr>
                <w:sz w:val="17"/>
              </w:rPr>
              <w:t>Market growth potential</w:t>
            </w:r>
          </w:p>
        </w:tc>
        <w:tc>
          <w:tcPr>
            <w:tcW w:type="dxa" w:w="1020"/>
          </w:tcPr>
          <w:p>
            <w:r/>
            <w:r>
              <w:rPr>
                <w:sz w:val="17"/>
              </w:rPr>
              <w:t>✓</w:t>
            </w:r>
          </w:p>
        </w:tc>
        <w:tc>
          <w:tcPr>
            <w:tcW w:type="dxa" w:w="6066"/>
          </w:tcPr>
          <w:p>
            <w:r/>
            <w:r>
              <w:rPr>
                <w:sz w:val="17"/>
              </w:rPr>
              <w:t>Structural undersupply: the 50k/yr need vs c.40k delivered in 2026e; FTB drawdowns at a record €4.1bn in H1-26</w:t>
            </w:r>
          </w:p>
        </w:tc>
      </w:tr>
      <w:tr>
        <w:tc>
          <w:tcPr>
            <w:tcW w:type="dxa" w:w="454"/>
          </w:tcPr>
          <w:p>
            <w:r/>
            <w:r>
              <w:rPr>
                <w:sz w:val="17"/>
              </w:rPr>
              <w:t>5</w:t>
            </w:r>
          </w:p>
        </w:tc>
        <w:tc>
          <w:tcPr>
            <w:tcW w:type="dxa" w:w="2098"/>
          </w:tcPr>
          <w:p>
            <w:r/>
            <w:r>
              <w:rPr>
                <w:sz w:val="17"/>
              </w:rPr>
              <w:t>Worthwhile, improving margin</w:t>
            </w:r>
          </w:p>
        </w:tc>
        <w:tc>
          <w:tcPr>
            <w:tcW w:type="dxa" w:w="1020"/>
          </w:tcPr>
          <w:p>
            <w:r/>
            <w:r>
              <w:rPr>
                <w:sz w:val="17"/>
              </w:rPr>
              <w:t>✓ / watch</w:t>
            </w:r>
          </w:p>
        </w:tc>
        <w:tc>
          <w:tcPr>
            <w:tcW w:type="dxa" w:w="6066"/>
          </w:tcPr>
          <w:p>
            <w:r/>
            <w:r>
              <w:rPr>
                <w:sz w:val="17"/>
              </w:rPr>
              <w:t>Operating margin 13.8% (FY21) → 17.8% (FY25); H1-26 16.4% (seasonal). Gross margin flat at 21.7–22.2% for 4 years, then −90 bps in H1-26</w:t>
            </w:r>
          </w:p>
        </w:tc>
      </w:tr>
      <w:tr>
        <w:tc>
          <w:tcPr>
            <w:tcW w:type="dxa" w:w="454"/>
          </w:tcPr>
          <w:p>
            <w:r/>
            <w:r>
              <w:rPr>
                <w:sz w:val="17"/>
              </w:rPr>
              <w:t>6</w:t>
            </w:r>
          </w:p>
        </w:tc>
        <w:tc>
          <w:tcPr>
            <w:tcW w:type="dxa" w:w="2098"/>
          </w:tcPr>
          <w:p>
            <w:r/>
            <w:r>
              <w:rPr>
                <w:sz w:val="17"/>
              </w:rPr>
              <w:t>Margin maintenance actions</w:t>
            </w:r>
          </w:p>
        </w:tc>
        <w:tc>
          <w:tcPr>
            <w:tcW w:type="dxa" w:w="1020"/>
          </w:tcPr>
          <w:p>
            <w:r/>
            <w:r>
              <w:rPr>
                <w:sz w:val="17"/>
              </w:rPr>
              <w:t>✓</w:t>
            </w:r>
          </w:p>
        </w:tc>
        <w:tc>
          <w:tcPr>
            <w:tcW w:type="dxa" w:w="6066"/>
          </w:tcPr>
          <w:p>
            <w:r/>
            <w:r>
              <w:rPr>
                <w:sz w:val="17"/>
              </w:rPr>
              <w:t>95% of 2026 costs procured; multi-year package awards; standardisation; opex discipline</w:t>
            </w:r>
          </w:p>
        </w:tc>
      </w:tr>
      <w:tr>
        <w:tc>
          <w:tcPr>
            <w:tcW w:type="dxa" w:w="454"/>
          </w:tcPr>
          <w:p>
            <w:r/>
            <w:r>
              <w:rPr>
                <w:sz w:val="17"/>
              </w:rPr>
              <w:t>11</w:t>
            </w:r>
          </w:p>
        </w:tc>
        <w:tc>
          <w:tcPr>
            <w:tcW w:type="dxa" w:w="2098"/>
          </w:tcPr>
          <w:p>
            <w:r/>
            <w:r>
              <w:rPr>
                <w:sz w:val="17"/>
              </w:rPr>
              <w:t>Competitive edge</w:t>
            </w:r>
          </w:p>
        </w:tc>
        <w:tc>
          <w:tcPr>
            <w:tcW w:type="dxa" w:w="1020"/>
          </w:tcPr>
          <w:p>
            <w:r/>
            <w:r>
              <w:rPr>
                <w:sz w:val="17"/>
              </w:rPr>
              <w:t>Partial</w:t>
            </w:r>
          </w:p>
        </w:tc>
        <w:tc>
          <w:tcPr>
            <w:tcW w:type="dxa" w:w="6066"/>
          </w:tcPr>
          <w:p>
            <w:r/>
            <w:r>
              <w:rPr>
                <w:sz w:val="17"/>
              </w:rPr>
              <w:t>Scale + low-cost land bank + planning pipeline; product itself undifferentiated</w:t>
            </w:r>
          </w:p>
        </w:tc>
      </w:tr>
      <w:tr>
        <w:tc>
          <w:tcPr>
            <w:tcW w:type="dxa" w:w="454"/>
          </w:tcPr>
          <w:p>
            <w:r/>
            <w:r>
              <w:rPr>
                <w:sz w:val="17"/>
              </w:rPr>
              <w:t>12</w:t>
            </w:r>
          </w:p>
        </w:tc>
        <w:tc>
          <w:tcPr>
            <w:tcW w:type="dxa" w:w="2098"/>
          </w:tcPr>
          <w:p>
            <w:r/>
            <w:r>
              <w:rPr>
                <w:sz w:val="17"/>
              </w:rPr>
              <w:t>Long-term profit outlook</w:t>
            </w:r>
          </w:p>
        </w:tc>
        <w:tc>
          <w:tcPr>
            <w:tcW w:type="dxa" w:w="1020"/>
          </w:tcPr>
          <w:p>
            <w:r/>
            <w:r>
              <w:rPr>
                <w:sz w:val="17"/>
              </w:rPr>
              <w:t>Partial</w:t>
            </w:r>
          </w:p>
        </w:tc>
        <w:tc>
          <w:tcPr>
            <w:tcW w:type="dxa" w:w="6066"/>
          </w:tcPr>
          <w:p>
            <w:r/>
            <w:r>
              <w:rPr>
                <w:sz w:val="17"/>
              </w:rPr>
              <w:t>Visibility into 2028 (€1.44bn forward book), but earnings depend on state schemes and rates</w:t>
            </w:r>
          </w:p>
        </w:tc>
      </w:tr>
      <w:tr>
        <w:tc>
          <w:tcPr>
            <w:tcW w:type="dxa" w:w="454"/>
          </w:tcPr>
          <w:p>
            <w:r/>
            <w:r>
              <w:rPr>
                <w:sz w:val="17"/>
              </w:rPr>
              <w:t>13</w:t>
            </w:r>
          </w:p>
        </w:tc>
        <w:tc>
          <w:tcPr>
            <w:tcW w:type="dxa" w:w="2098"/>
          </w:tcPr>
          <w:p>
            <w:r/>
            <w:r>
              <w:rPr>
                <w:sz w:val="17"/>
              </w:rPr>
              <w:t>Equity financing need</w:t>
            </w:r>
          </w:p>
        </w:tc>
        <w:tc>
          <w:tcPr>
            <w:tcW w:type="dxa" w:w="1020"/>
          </w:tcPr>
          <w:p>
            <w:r/>
            <w:r>
              <w:rPr>
                <w:sz w:val="17"/>
              </w:rPr>
              <w:t>✓</w:t>
            </w:r>
          </w:p>
        </w:tc>
        <w:tc>
          <w:tcPr>
            <w:tcW w:type="dxa" w:w="6066"/>
          </w:tcPr>
          <w:p>
            <w:r/>
            <w:r>
              <w:rPr>
                <w:sz w:val="17"/>
              </w:rPr>
              <w:t>No issuance; share count −10% since FY22; €500m committed facilities, €304m liquidity</w:t>
            </w:r>
          </w:p>
        </w:tc>
      </w:tr>
      <w:tr>
        <w:tc>
          <w:tcPr>
            <w:tcW w:type="dxa" w:w="454"/>
          </w:tcPr>
          <w:p>
            <w:r/>
            <w:r>
              <w:rPr>
                <w:sz w:val="17"/>
              </w:rPr>
              <w:t>14</w:t>
            </w:r>
          </w:p>
        </w:tc>
        <w:tc>
          <w:tcPr>
            <w:tcW w:type="dxa" w:w="2098"/>
          </w:tcPr>
          <w:p>
            <w:r/>
            <w:r>
              <w:rPr>
                <w:sz w:val="17"/>
              </w:rPr>
              <w:t>Communication good and bad times</w:t>
            </w:r>
          </w:p>
        </w:tc>
        <w:tc>
          <w:tcPr>
            <w:tcW w:type="dxa" w:w="1020"/>
          </w:tcPr>
          <w:p>
            <w:r/>
            <w:r>
              <w:rPr>
                <w:sz w:val="17"/>
              </w:rPr>
              <w:t>✓</w:t>
            </w:r>
          </w:p>
        </w:tc>
        <w:tc>
          <w:tcPr>
            <w:tcW w:type="dxa" w:w="6066"/>
          </w:tcPr>
          <w:p>
            <w:r/>
            <w:r>
              <w:rPr>
                <w:sz w:val="17"/>
              </w:rPr>
              <w:t>Regular trading updates; guidance upgraded twice in 2026 and beaten in FY25 (EBIT €168.5m vs €160–165m guide)</w:t>
            </w:r>
          </w:p>
        </w:tc>
      </w:tr>
      <w:tr>
        <w:tc>
          <w:tcPr>
            <w:tcW w:type="dxa" w:w="454"/>
          </w:tcPr>
          <w:p>
            <w:r/>
            <w:r>
              <w:rPr>
                <w:sz w:val="17"/>
              </w:rPr>
              <w:t>15</w:t>
            </w:r>
          </w:p>
        </w:tc>
        <w:tc>
          <w:tcPr>
            <w:tcW w:type="dxa" w:w="2098"/>
          </w:tcPr>
          <w:p>
            <w:r/>
            <w:r>
              <w:rPr>
                <w:sz w:val="17"/>
              </w:rPr>
              <w:t>Management integrity / alignment</w:t>
            </w:r>
          </w:p>
        </w:tc>
        <w:tc>
          <w:tcPr>
            <w:tcW w:type="dxa" w:w="1020"/>
          </w:tcPr>
          <w:p>
            <w:r/>
            <w:r>
              <w:rPr>
                <w:sz w:val="17"/>
              </w:rPr>
              <w:t>⚠</w:t>
            </w:r>
          </w:p>
        </w:tc>
        <w:tc>
          <w:tcPr>
            <w:tcW w:type="dxa" w:w="6066"/>
          </w:tcPr>
          <w:p>
            <w:r/>
            <w:r>
              <w:rPr>
                <w:sz w:val="17"/>
              </w:rPr>
              <w:t>Bespoke Stretch CEO LTIP (3.16m shares, potential c.€7m) passed with 32% of votes against; FY26 LTIP ROE max target (16%) is below the 17% guidance, which looks soft. No integrity issue found, but there is an alignment question</w:t>
            </w:r>
          </w:p>
        </w:tc>
      </w:tr>
    </w:tbl>
    <w:p/>
    <w:p>
      <w:r>
        <w:rPr>
          <w:b w:val="0"/>
          <w:i w:val="0"/>
        </w:rPr>
        <w:t>No Fisher disqualifier: margins are not eroding over multiple periods (one half-year dip only), and there is no evidence of management evasion.</w:t>
      </w:r>
    </w:p>
    <w:p>
      <w:pPr>
        <w:pStyle w:val="Heading1"/>
      </w:pPr>
      <w:r>
        <w:t>8. Ilmanen — Factor Read</w:t>
      </w:r>
    </w:p>
    <w:p>
      <w:pPr>
        <w:pStyle w:val="ListBullet"/>
      </w:pPr>
      <w:r>
        <w:t>Value: weak or partially present. 11× forward P/E and 3.9% gross yield are cheap in absolute terms, but P/B is 1.9× and EV/EBITDA 9.0× TTM is above UK peers (7–8×). On a mid-cycle margin it is not cheap.</w:t>
      </w:r>
    </w:p>
    <w:p>
      <w:pPr>
        <w:pStyle w:val="ListBullet"/>
      </w:pPr>
      <w:r>
        <w:t>Quality: present. ROE 18.5% TTM, RNOA c.16.6%, net debt/equity 23%, no dilution, and gross margin stable for four years.</w:t>
      </w:r>
    </w:p>
    <w:p>
      <w:pPr>
        <w:pStyle w:val="ListBullet"/>
      </w:pPr>
      <w:r>
        <w:t>Momentum: present. 12-1 month return +48.7%; price €2.64 vs 52-week median €2.20 (52-week range €1.86–2.885).</w:t>
      </w:r>
    </w:p>
    <w:p>
      <w:pPr>
        <w:pStyle w:val="ListBullet"/>
      </w:pPr>
      <w:r>
        <w:t>Low beta: mixed. Measured beta is 0.74 and 1-year realised volatility 28%, but the business is economically cyclical and rate-sensitive.</w:t>
      </w:r>
    </w:p>
    <w:p>
      <w:r>
        <w:rPr>
          <w:b w:val="0"/>
          <w:i w:val="0"/>
        </w:rPr>
        <w:t>Overlap: quality + momentum, with only a weak value tailwind. That is a two-factor alignment, not the full value + quality + momentum combination. Crowding: about 75% institutional ownership. Several large holders (Fidelity, Capital, Aberdeen, BMO) cut positions in Q3-26 per yfinance filings; JPMorgan and Fidelity MRC added.</w:t>
      </w:r>
    </w:p>
    <w:p>
      <w:pPr>
        <w:pStyle w:val="Heading1"/>
      </w:pPr>
      <w:r>
        <w:t>9. Quality Compounder Screen (Framework 8)</w:t>
      </w:r>
    </w:p>
    <w:tbl>
      <w:tblPr>
        <w:tblStyle w:val="TableGrid"/>
        <w:tblW w:type="auto" w:w="0"/>
        <w:tblLook w:firstColumn="1" w:firstRow="1" w:lastColumn="0" w:lastRow="0" w:noHBand="0" w:noVBand="1" w:val="04A0"/>
      </w:tblPr>
      <w:tblGrid>
        <w:gridCol w:w="2493"/>
        <w:gridCol w:w="2493"/>
        <w:gridCol w:w="2493"/>
        <w:gridCol w:w="2493"/>
      </w:tblGrid>
      <w:tr>
        <w:tc>
          <w:tcPr>
            <w:tcW w:type="dxa" w:w="1984"/>
            <w:shd w:val="clear" w:color="auto" w:fill="D9E2F3"/>
          </w:tcPr>
          <w:p>
            <w:r/>
            <w:r>
              <w:rPr>
                <w:b/>
                <w:sz w:val="17"/>
              </w:rPr>
              <w:t>Criterion</w:t>
            </w:r>
          </w:p>
        </w:tc>
        <w:tc>
          <w:tcPr>
            <w:tcW w:type="dxa" w:w="1587"/>
            <w:shd w:val="clear" w:color="auto" w:fill="D9E2F3"/>
          </w:tcPr>
          <w:p>
            <w:r/>
            <w:r>
              <w:rPr>
                <w:b/>
                <w:sz w:val="17"/>
              </w:rPr>
              <w:t>Threshold</w:t>
            </w:r>
          </w:p>
        </w:tc>
        <w:tc>
          <w:tcPr>
            <w:tcW w:type="dxa" w:w="4535"/>
            <w:shd w:val="clear" w:color="auto" w:fill="D9E2F3"/>
          </w:tcPr>
          <w:p>
            <w:r/>
            <w:r>
              <w:rPr>
                <w:b/>
                <w:sz w:val="17"/>
              </w:rPr>
              <w:t>Cairn</w:t>
            </w:r>
          </w:p>
        </w:tc>
        <w:tc>
          <w:tcPr>
            <w:tcW w:type="dxa" w:w="1531"/>
            <w:shd w:val="clear" w:color="auto" w:fill="D9E2F3"/>
          </w:tcPr>
          <w:p>
            <w:r/>
            <w:r>
              <w:rPr>
                <w:b/>
                <w:sz w:val="17"/>
              </w:rPr>
              <w:t>Result</w:t>
            </w:r>
          </w:p>
        </w:tc>
      </w:tr>
      <w:tr>
        <w:tc>
          <w:tcPr>
            <w:tcW w:type="dxa" w:w="1984"/>
          </w:tcPr>
          <w:p>
            <w:r/>
            <w:r>
              <w:rPr>
                <w:sz w:val="17"/>
              </w:rPr>
              <w:t>ROIC 5-yr average</w:t>
            </w:r>
          </w:p>
        </w:tc>
        <w:tc>
          <w:tcPr>
            <w:tcW w:type="dxa" w:w="1587"/>
          </w:tcPr>
          <w:p>
            <w:r/>
            <w:r>
              <w:rPr>
                <w:sz w:val="17"/>
              </w:rPr>
              <w:t>&gt; 15%</w:t>
            </w:r>
          </w:p>
        </w:tc>
        <w:tc>
          <w:tcPr>
            <w:tcW w:type="dxa" w:w="4535"/>
          </w:tcPr>
          <w:p>
            <w:r/>
            <w:r>
              <w:rPr>
                <w:sz w:val="17"/>
              </w:rPr>
              <w:t>11.2% (FY21–25: 5.8 / 10.0 / 11.0 / 14.4 / 14.6)</w:t>
            </w:r>
          </w:p>
        </w:tc>
        <w:tc>
          <w:tcPr>
            <w:tcW w:type="dxa" w:w="1531"/>
          </w:tcPr>
          <w:p>
            <w:r/>
            <w:r>
              <w:rPr>
                <w:sz w:val="17"/>
              </w:rPr>
              <w:t>FAIL</w:t>
            </w:r>
          </w:p>
        </w:tc>
      </w:tr>
      <w:tr>
        <w:tc>
          <w:tcPr>
            <w:tcW w:type="dxa" w:w="1984"/>
          </w:tcPr>
          <w:p>
            <w:r/>
            <w:r>
              <w:rPr>
                <w:sz w:val="17"/>
              </w:rPr>
              <w:t>ROIC trend</w:t>
            </w:r>
          </w:p>
        </w:tc>
        <w:tc>
          <w:tcPr>
            <w:tcW w:type="dxa" w:w="1587"/>
          </w:tcPr>
          <w:p>
            <w:r/>
            <w:r>
              <w:rPr>
                <w:sz w:val="17"/>
              </w:rPr>
              <w:t>Stable / improving</w:t>
            </w:r>
          </w:p>
        </w:tc>
        <w:tc>
          <w:tcPr>
            <w:tcW w:type="dxa" w:w="4535"/>
          </w:tcPr>
          <w:p>
            <w:r/>
            <w:r>
              <w:rPr>
                <w:sz w:val="17"/>
              </w:rPr>
              <w:t>Rising for 4 consecutive years; TTM c.16.6%</w:t>
            </w:r>
          </w:p>
        </w:tc>
        <w:tc>
          <w:tcPr>
            <w:tcW w:type="dxa" w:w="1531"/>
          </w:tcPr>
          <w:p>
            <w:r/>
            <w:r>
              <w:rPr>
                <w:sz w:val="17"/>
              </w:rPr>
              <w:t>PASS</w:t>
            </w:r>
          </w:p>
        </w:tc>
      </w:tr>
      <w:tr>
        <w:tc>
          <w:tcPr>
            <w:tcW w:type="dxa" w:w="1984"/>
          </w:tcPr>
          <w:p>
            <w:r/>
            <w:r>
              <w:rPr>
                <w:sz w:val="17"/>
              </w:rPr>
              <w:t>Operating margin</w:t>
            </w:r>
          </w:p>
        </w:tc>
        <w:tc>
          <w:tcPr>
            <w:tcW w:type="dxa" w:w="1587"/>
          </w:tcPr>
          <w:p>
            <w:r/>
            <w:r>
              <w:rPr>
                <w:sz w:val="17"/>
              </w:rPr>
              <w:t>&gt; 15%</w:t>
            </w:r>
          </w:p>
        </w:tc>
        <w:tc>
          <w:tcPr>
            <w:tcW w:type="dxa" w:w="4535"/>
          </w:tcPr>
          <w:p>
            <w:r/>
            <w:r>
              <w:rPr>
                <w:sz w:val="17"/>
              </w:rPr>
              <w:t>17.8% FY25; 18.0% TTM</w:t>
            </w:r>
          </w:p>
        </w:tc>
        <w:tc>
          <w:tcPr>
            <w:tcW w:type="dxa" w:w="1531"/>
          </w:tcPr>
          <w:p>
            <w:r/>
            <w:r>
              <w:rPr>
                <w:sz w:val="17"/>
              </w:rPr>
              <w:t>PASS</w:t>
            </w:r>
          </w:p>
        </w:tc>
      </w:tr>
      <w:tr>
        <w:tc>
          <w:tcPr>
            <w:tcW w:type="dxa" w:w="1984"/>
          </w:tcPr>
          <w:p>
            <w:r/>
            <w:r>
              <w:rPr>
                <w:sz w:val="17"/>
              </w:rPr>
              <w:t>FCF conversion (FCF / NI)</w:t>
            </w:r>
          </w:p>
        </w:tc>
        <w:tc>
          <w:tcPr>
            <w:tcW w:type="dxa" w:w="1587"/>
          </w:tcPr>
          <w:p>
            <w:r/>
            <w:r>
              <w:rPr>
                <w:sz w:val="17"/>
              </w:rPr>
              <w:t>&gt; 80%</w:t>
            </w:r>
          </w:p>
        </w:tc>
        <w:tc>
          <w:tcPr>
            <w:tcW w:type="dxa" w:w="4535"/>
          </w:tcPr>
          <w:p>
            <w:r/>
            <w:r>
              <w:rPr>
                <w:sz w:val="17"/>
              </w:rPr>
              <w:t>FY22–25 cumulative 94% (FY25 alone 51% on WIP build; TTM 131%)</w:t>
            </w:r>
          </w:p>
        </w:tc>
        <w:tc>
          <w:tcPr>
            <w:tcW w:type="dxa" w:w="1531"/>
          </w:tcPr>
          <w:p>
            <w:r/>
            <w:r>
              <w:rPr>
                <w:sz w:val="17"/>
              </w:rPr>
              <w:t>PASS</w:t>
            </w:r>
          </w:p>
        </w:tc>
      </w:tr>
      <w:tr>
        <w:tc>
          <w:tcPr>
            <w:tcW w:type="dxa" w:w="1984"/>
          </w:tcPr>
          <w:p>
            <w:r/>
            <w:r>
              <w:rPr>
                <w:sz w:val="17"/>
              </w:rPr>
              <w:t>CapEx intensity</w:t>
            </w:r>
          </w:p>
        </w:tc>
        <w:tc>
          <w:tcPr>
            <w:tcW w:type="dxa" w:w="1587"/>
          </w:tcPr>
          <w:p>
            <w:r/>
            <w:r>
              <w:rPr>
                <w:sz w:val="17"/>
              </w:rPr>
              <w:t>&lt; 10% of revenue</w:t>
            </w:r>
          </w:p>
        </w:tc>
        <w:tc>
          <w:tcPr>
            <w:tcW w:type="dxa" w:w="4535"/>
          </w:tcPr>
          <w:p>
            <w:r/>
            <w:r>
              <w:rPr>
                <w:sz w:val="17"/>
              </w:rPr>
              <w:t>Reported 0.3%, but economically capital is held in inventory (invested capital / revenue c.1.0×). I judge it on the economic measure</w:t>
            </w:r>
          </w:p>
        </w:tc>
        <w:tc>
          <w:tcPr>
            <w:tcW w:type="dxa" w:w="1531"/>
          </w:tcPr>
          <w:p>
            <w:r/>
            <w:r>
              <w:rPr>
                <w:sz w:val="17"/>
              </w:rPr>
              <w:t>FAIL</w:t>
            </w:r>
          </w:p>
        </w:tc>
      </w:tr>
      <w:tr>
        <w:tc>
          <w:tcPr>
            <w:tcW w:type="dxa" w:w="1984"/>
          </w:tcPr>
          <w:p>
            <w:r/>
            <w:r>
              <w:rPr>
                <w:sz w:val="17"/>
              </w:rPr>
              <w:t>Self-funded growth</w:t>
            </w:r>
          </w:p>
        </w:tc>
        <w:tc>
          <w:tcPr>
            <w:tcW w:type="dxa" w:w="1587"/>
          </w:tcPr>
          <w:p>
            <w:r/>
            <w:r>
              <w:rPr>
                <w:sz w:val="17"/>
              </w:rPr>
              <w:t>No dilution</w:t>
            </w:r>
          </w:p>
        </w:tc>
        <w:tc>
          <w:tcPr>
            <w:tcW w:type="dxa" w:w="4535"/>
          </w:tcPr>
          <w:p>
            <w:r/>
            <w:r>
              <w:rPr>
                <w:sz w:val="17"/>
              </w:rPr>
              <w:t>Share count 685.8m → 617.7m (FY22–25)</w:t>
            </w:r>
          </w:p>
        </w:tc>
        <w:tc>
          <w:tcPr>
            <w:tcW w:type="dxa" w:w="1531"/>
          </w:tcPr>
          <w:p>
            <w:r/>
            <w:r>
              <w:rPr>
                <w:sz w:val="17"/>
              </w:rPr>
              <w:t>PASS</w:t>
            </w:r>
          </w:p>
        </w:tc>
      </w:tr>
      <w:tr>
        <w:tc>
          <w:tcPr>
            <w:tcW w:type="dxa" w:w="1984"/>
          </w:tcPr>
          <w:p>
            <w:r/>
            <w:r>
              <w:rPr>
                <w:sz w:val="17"/>
              </w:rPr>
              <w:t>Management ownership</w:t>
            </w:r>
          </w:p>
        </w:tc>
        <w:tc>
          <w:tcPr>
            <w:tcW w:type="dxa" w:w="1587"/>
          </w:tcPr>
          <w:p>
            <w:r/>
            <w:r>
              <w:rPr>
                <w:sz w:val="17"/>
              </w:rPr>
              <w:t>&gt; 3% founder</w:t>
            </w:r>
          </w:p>
        </w:tc>
        <w:tc>
          <w:tcPr>
            <w:tcW w:type="dxa" w:w="4535"/>
          </w:tcPr>
          <w:p>
            <w:r/>
            <w:r>
              <w:rPr>
                <w:sz w:val="17"/>
              </w:rPr>
              <w:t>Insiders 5.4% total (yfinance); co-founder CEO's individual stake not verified</w:t>
            </w:r>
          </w:p>
        </w:tc>
        <w:tc>
          <w:tcPr>
            <w:tcW w:type="dxa" w:w="1531"/>
          </w:tcPr>
          <w:p>
            <w:r/>
            <w:r>
              <w:rPr>
                <w:sz w:val="17"/>
              </w:rPr>
              <w:t>UNVERIFIED (not counted)</w:t>
            </w:r>
          </w:p>
        </w:tc>
      </w:tr>
      <w:tr>
        <w:tc>
          <w:tcPr>
            <w:tcW w:type="dxa" w:w="1984"/>
          </w:tcPr>
          <w:p>
            <w:r/>
            <w:r>
              <w:rPr>
                <w:sz w:val="17"/>
              </w:rPr>
              <w:t>Buyback discipline</w:t>
            </w:r>
          </w:p>
        </w:tc>
        <w:tc>
          <w:tcPr>
            <w:tcW w:type="dxa" w:w="1587"/>
          </w:tcPr>
          <w:p>
            <w:r/>
            <w:r>
              <w:rPr>
                <w:sz w:val="17"/>
              </w:rPr>
              <w:t>At / below intrinsic value</w:t>
            </w:r>
          </w:p>
        </w:tc>
        <w:tc>
          <w:tcPr>
            <w:tcW w:type="dxa" w:w="4535"/>
          </w:tcPr>
          <w:p>
            <w:r/>
            <w:r>
              <w:rPr>
                <w:sz w:val="17"/>
              </w:rPr>
              <w:t>€197m bought FY22–24 at c.€0.85–2.3 (below today's base value); new €50m at c.€2.6 &lt; base €3.62</w:t>
            </w:r>
          </w:p>
        </w:tc>
        <w:tc>
          <w:tcPr>
            <w:tcW w:type="dxa" w:w="1531"/>
          </w:tcPr>
          <w:p>
            <w:r/>
            <w:r>
              <w:rPr>
                <w:sz w:val="17"/>
              </w:rPr>
              <w:t>PASS</w:t>
            </w:r>
          </w:p>
        </w:tc>
      </w:tr>
      <w:tr>
        <w:tc>
          <w:tcPr>
            <w:tcW w:type="dxa" w:w="1984"/>
          </w:tcPr>
          <w:p>
            <w:r/>
            <w:r>
              <w:rPr>
                <w:sz w:val="17"/>
              </w:rPr>
              <w:t>M&amp;A discipline</w:t>
            </w:r>
          </w:p>
        </w:tc>
        <w:tc>
          <w:tcPr>
            <w:tcW w:type="dxa" w:w="1587"/>
          </w:tcPr>
          <w:p>
            <w:r/>
            <w:r>
              <w:rPr>
                <w:sz w:val="17"/>
              </w:rPr>
              <w:t>Bolt-on, low goodwill</w:t>
            </w:r>
          </w:p>
        </w:tc>
        <w:tc>
          <w:tcPr>
            <w:tcW w:type="dxa" w:w="4535"/>
          </w:tcPr>
          <w:p>
            <w:r/>
            <w:r>
              <w:rPr>
                <w:sz w:val="17"/>
              </w:rPr>
              <w:t>No M&amp;A; intangibles €4.5m (0.3% of assets)</w:t>
            </w:r>
          </w:p>
        </w:tc>
        <w:tc>
          <w:tcPr>
            <w:tcW w:type="dxa" w:w="1531"/>
          </w:tcPr>
          <w:p>
            <w:r/>
            <w:r>
              <w:rPr>
                <w:sz w:val="17"/>
              </w:rPr>
              <w:t>PASS</w:t>
            </w:r>
          </w:p>
        </w:tc>
      </w:tr>
    </w:tbl>
    <w:p/>
    <w:p>
      <w:r>
        <w:rPr>
          <w:b w:val="0"/>
          <w:i w:val="0"/>
        </w:rPr>
        <w:t>Count: 6 of 9 pass → QUALITY. Even if the ownership item were verified as a pass, the count is 7. That would reach COMPOUNDER only by counting the reported capex figure, which I reject as misleading for a housebuilder. Neither the accrual cap nor a Fisher cap is triggered. With MoS Gate = BASE, the label stands as QUALITY.</w:t>
      </w:r>
    </w:p>
    <w:p>
      <w:r>
        <w:rPr>
          <w:b w:val="0"/>
          <w:i w:val="0"/>
        </w:rPr>
        <w:t>Thorndike capital-allocation lens: reinvestment ✓ (land bought at a low average cost; disclosing that the investment phase is ending); acquisitions ✓ (none); buybacks ✓ (mostly below today's value); debt ✓ (net debt/EBITDA c.1.0×, €500m facilities to 2029).</w:t>
      </w:r>
    </w:p>
    <w:p>
      <w:pPr>
        <w:pStyle w:val="Heading1"/>
      </w:pPr>
      <w:r>
        <w:t>10. Sector Appendix — Residential Housebuilder (CD + building-materials notes + housebuilder metrics)</w:t>
      </w:r>
    </w:p>
    <w:tbl>
      <w:tblPr>
        <w:tblStyle w:val="TableGrid"/>
        <w:tblW w:type="auto" w:w="0"/>
        <w:tblLook w:firstColumn="1" w:firstRow="1" w:lastColumn="0" w:lastRow="0" w:noHBand="0" w:noVBand="1" w:val="04A0"/>
      </w:tblPr>
      <w:tblGrid>
        <w:gridCol w:w="3324"/>
        <w:gridCol w:w="3324"/>
        <w:gridCol w:w="3324"/>
      </w:tblGrid>
      <w:tr>
        <w:tc>
          <w:tcPr>
            <w:tcW w:type="dxa" w:w="1984"/>
            <w:shd w:val="clear" w:color="auto" w:fill="D9E2F3"/>
          </w:tcPr>
          <w:p>
            <w:r/>
            <w:r>
              <w:rPr>
                <w:b/>
                <w:sz w:val="17"/>
              </w:rPr>
              <w:t>Metric</w:t>
            </w:r>
          </w:p>
        </w:tc>
        <w:tc>
          <w:tcPr>
            <w:tcW w:type="dxa" w:w="4252"/>
            <w:shd w:val="clear" w:color="auto" w:fill="D9E2F3"/>
          </w:tcPr>
          <w:p>
            <w:r/>
            <w:r>
              <w:rPr>
                <w:b/>
                <w:sz w:val="17"/>
              </w:rPr>
              <w:t>Current value</w:t>
            </w:r>
          </w:p>
        </w:tc>
        <w:tc>
          <w:tcPr>
            <w:tcW w:type="dxa" w:w="3402"/>
            <w:shd w:val="clear" w:color="auto" w:fill="D9E2F3"/>
          </w:tcPr>
          <w:p>
            <w:r/>
            <w:r>
              <w:rPr>
                <w:b/>
                <w:sz w:val="17"/>
              </w:rPr>
              <w:t>Read</w:t>
            </w:r>
          </w:p>
        </w:tc>
      </w:tr>
      <w:tr>
        <w:tc>
          <w:tcPr>
            <w:tcW w:type="dxa" w:w="1984"/>
          </w:tcPr>
          <w:p>
            <w:r/>
            <w:r>
              <w:rPr>
                <w:sz w:val="17"/>
              </w:rPr>
              <w:t>Volume growth (completions)</w:t>
            </w:r>
          </w:p>
        </w:tc>
        <w:tc>
          <w:tcPr>
            <w:tcW w:type="dxa" w:w="4252"/>
          </w:tcPr>
          <w:p>
            <w:r/>
            <w:r>
              <w:rPr>
                <w:sz w:val="17"/>
              </w:rPr>
              <w:t>2,365 FY25 → c.2,800 FY26e (+18%) → c.3,200 FY27e (+14%)</w:t>
            </w:r>
          </w:p>
        </w:tc>
        <w:tc>
          <w:tcPr>
            <w:tcW w:type="dxa" w:w="3402"/>
          </w:tcPr>
          <w:p>
            <w:r/>
            <w:r>
              <w:rPr>
                <w:sz w:val="17"/>
              </w:rPr>
              <w:t>Strong</w:t>
            </w:r>
          </w:p>
        </w:tc>
      </w:tr>
      <w:tr>
        <w:tc>
          <w:tcPr>
            <w:tcW w:type="dxa" w:w="1984"/>
          </w:tcPr>
          <w:p>
            <w:r/>
            <w:r>
              <w:rPr>
                <w:sz w:val="17"/>
              </w:rPr>
              <w:t>ASP / pricing</w:t>
            </w:r>
          </w:p>
        </w:tc>
        <w:tc>
          <w:tcPr>
            <w:tcW w:type="dxa" w:w="4252"/>
          </w:tcPr>
          <w:p>
            <w:r/>
            <w:r>
              <w:rPr>
                <w:sz w:val="17"/>
              </w:rPr>
              <w:t>€393k ex-VAT, +1.6% YoY; deliberately held under €500k scheme caps</w:t>
            </w:r>
          </w:p>
        </w:tc>
        <w:tc>
          <w:tcPr>
            <w:tcW w:type="dxa" w:w="3402"/>
          </w:tcPr>
          <w:p>
            <w:r/>
            <w:r>
              <w:rPr>
                <w:sz w:val="17"/>
              </w:rPr>
              <w:t>Pricing power exists but is capped by policy (volume chosen over price)</w:t>
            </w:r>
          </w:p>
        </w:tc>
      </w:tr>
      <w:tr>
        <w:tc>
          <w:tcPr>
            <w:tcW w:type="dxa" w:w="1984"/>
          </w:tcPr>
          <w:p>
            <w:r/>
            <w:r>
              <w:rPr>
                <w:sz w:val="17"/>
              </w:rPr>
              <w:t>Gross margin</w:t>
            </w:r>
          </w:p>
        </w:tc>
        <w:tc>
          <w:tcPr>
            <w:tcW w:type="dxa" w:w="4252"/>
          </w:tcPr>
          <w:p>
            <w:r/>
            <w:r>
              <w:rPr>
                <w:sz w:val="17"/>
              </w:rPr>
              <w:t>21.3% H1-26 vs 22.2% H1-25; 22.1% FY25</w:t>
            </w:r>
          </w:p>
        </w:tc>
        <w:tc>
          <w:tcPr>
            <w:tcW w:type="dxa" w:w="3402"/>
          </w:tcPr>
          <w:p>
            <w:r/>
            <w:r>
              <w:rPr>
                <w:sz w:val="17"/>
              </w:rPr>
              <w:t>Acceptable (−90 bps; ±100 bps band)</w:t>
            </w:r>
          </w:p>
        </w:tc>
      </w:tr>
      <w:tr>
        <w:tc>
          <w:tcPr>
            <w:tcW w:type="dxa" w:w="1984"/>
          </w:tcPr>
          <w:p>
            <w:r/>
            <w:r>
              <w:rPr>
                <w:sz w:val="17"/>
              </w:rPr>
              <w:t>Operating leverage</w:t>
            </w:r>
          </w:p>
        </w:tc>
        <w:tc>
          <w:tcPr>
            <w:tcW w:type="dxa" w:w="4252"/>
          </w:tcPr>
          <w:p>
            <w:r/>
            <w:r>
              <w:rPr>
                <w:sz w:val="17"/>
              </w:rPr>
              <w:t>Revenue +60%, opex +7%, EBIT +75% (H1)</w:t>
            </w:r>
          </w:p>
        </w:tc>
        <w:tc>
          <w:tcPr>
            <w:tcW w:type="dxa" w:w="3402"/>
          </w:tcPr>
          <w:p>
            <w:r/>
            <w:r>
              <w:rPr>
                <w:sz w:val="17"/>
              </w:rPr>
              <w:t>Strong</w:t>
            </w:r>
          </w:p>
        </w:tc>
      </w:tr>
      <w:tr>
        <w:tc>
          <w:tcPr>
            <w:tcW w:type="dxa" w:w="1984"/>
          </w:tcPr>
          <w:p>
            <w:r/>
            <w:r>
              <w:rPr>
                <w:sz w:val="17"/>
              </w:rPr>
              <w:t>Order book cover</w:t>
            </w:r>
          </w:p>
        </w:tc>
        <w:tc>
          <w:tcPr>
            <w:tcW w:type="dxa" w:w="4252"/>
          </w:tcPr>
          <w:p>
            <w:r/>
            <w:r>
              <w:rPr>
                <w:sz w:val="17"/>
              </w:rPr>
              <w:t>Forward €1.44bn ≈ 1.3× FY26 revenue; 3,881 units</w:t>
            </w:r>
          </w:p>
        </w:tc>
        <w:tc>
          <w:tcPr>
            <w:tcW w:type="dxa" w:w="3402"/>
          </w:tcPr>
          <w:p>
            <w:r/>
            <w:r>
              <w:rPr>
                <w:sz w:val="17"/>
              </w:rPr>
              <w:t>Strong visibility</w:t>
            </w:r>
          </w:p>
        </w:tc>
      </w:tr>
      <w:tr>
        <w:tc>
          <w:tcPr>
            <w:tcW w:type="dxa" w:w="1984"/>
          </w:tcPr>
          <w:p>
            <w:r/>
            <w:r>
              <w:rPr>
                <w:sz w:val="17"/>
              </w:rPr>
              <w:t>Land bank years</w:t>
            </w:r>
          </w:p>
        </w:tc>
        <w:tc>
          <w:tcPr>
            <w:tcW w:type="dxa" w:w="4252"/>
          </w:tcPr>
          <w:p>
            <w:r/>
            <w:r>
              <w:rPr>
                <w:sz w:val="17"/>
              </w:rPr>
              <w:t>c.18,000 owned units ÷ 2,800/yr ≈ 6.4 yrs (+2,750 strategic, +6,500 pipeline)</w:t>
            </w:r>
          </w:p>
        </w:tc>
        <w:tc>
          <w:tcPr>
            <w:tcW w:type="dxa" w:w="3402"/>
          </w:tcPr>
          <w:p>
            <w:r/>
            <w:r>
              <w:rPr>
                <w:sz w:val="17"/>
              </w:rPr>
              <w:t>Strong; c.75% planned or in planning</w:t>
            </w:r>
          </w:p>
        </w:tc>
      </w:tr>
      <w:tr>
        <w:tc>
          <w:tcPr>
            <w:tcW w:type="dxa" w:w="1984"/>
          </w:tcPr>
          <w:p>
            <w:r/>
            <w:r>
              <w:rPr>
                <w:sz w:val="17"/>
              </w:rPr>
              <w:t>Land cost per plot</w:t>
            </w:r>
          </w:p>
        </w:tc>
        <w:tc>
          <w:tcPr>
            <w:tcW w:type="dxa" w:w="4252"/>
          </w:tcPr>
          <w:p>
            <w:r/>
            <w:r>
              <w:rPr>
                <w:sz w:val="17"/>
              </w:rPr>
              <w:t>€37k average (€31k houses / €47k apartments) ≈ 9% of ASP</w:t>
            </w:r>
          </w:p>
        </w:tc>
        <w:tc>
          <w:tcPr>
            <w:tcW w:type="dxa" w:w="3402"/>
          </w:tcPr>
          <w:p>
            <w:r/>
            <w:r>
              <w:rPr>
                <w:sz w:val="17"/>
              </w:rPr>
              <w:t>Low-cost legacy land</w:t>
            </w:r>
          </w:p>
        </w:tc>
      </w:tr>
      <w:tr>
        <w:tc>
          <w:tcPr>
            <w:tcW w:type="dxa" w:w="1984"/>
          </w:tcPr>
          <w:p>
            <w:r/>
            <w:r>
              <w:rPr>
                <w:sz w:val="17"/>
              </w:rPr>
              <w:t>Inventory / WIP</w:t>
            </w:r>
          </w:p>
        </w:tc>
        <w:tc>
          <w:tcPr>
            <w:tcW w:type="dxa" w:w="4252"/>
          </w:tcPr>
          <w:p>
            <w:r/>
            <w:r>
              <w:rPr>
                <w:sz w:val="17"/>
              </w:rPr>
              <w:t>Inventory €1,176m; WIP €482.9m (up from €413.8m)</w:t>
            </w:r>
          </w:p>
        </w:tc>
        <w:tc>
          <w:tcPr>
            <w:tcW w:type="dxa" w:w="3402"/>
          </w:tcPr>
          <w:p>
            <w:r/>
            <w:r>
              <w:rPr>
                <w:sz w:val="17"/>
              </w:rPr>
              <w:t>WIP rising, as expected for the volume ramp</w:t>
            </w:r>
          </w:p>
        </w:tc>
      </w:tr>
      <w:tr>
        <w:tc>
          <w:tcPr>
            <w:tcW w:type="dxa" w:w="1984"/>
          </w:tcPr>
          <w:p>
            <w:r/>
            <w:r>
              <w:rPr>
                <w:sz w:val="17"/>
              </w:rPr>
              <w:t>P/B vs ROE</w:t>
            </w:r>
          </w:p>
        </w:tc>
        <w:tc>
          <w:tcPr>
            <w:tcW w:type="dxa" w:w="4252"/>
          </w:tcPr>
          <w:p>
            <w:r/>
            <w:r>
              <w:rPr>
                <w:sz w:val="17"/>
              </w:rPr>
              <w:t>1.90× vs 17% guided ROE (justified ≈2.2×)</w:t>
            </w:r>
          </w:p>
        </w:tc>
        <w:tc>
          <w:tcPr>
            <w:tcW w:type="dxa" w:w="3402"/>
          </w:tcPr>
          <w:p>
            <w:r/>
            <w:r>
              <w:rPr>
                <w:sz w:val="17"/>
              </w:rPr>
              <w:t>Fair to slightly cheap if ROE is sustained</w:t>
            </w:r>
          </w:p>
        </w:tc>
      </w:tr>
      <w:tr>
        <w:tc>
          <w:tcPr>
            <w:tcW w:type="dxa" w:w="1984"/>
          </w:tcPr>
          <w:p>
            <w:r/>
            <w:r>
              <w:rPr>
                <w:sz w:val="17"/>
              </w:rPr>
              <w:t>EV/EBITDA (TTM)</w:t>
            </w:r>
          </w:p>
        </w:tc>
        <w:tc>
          <w:tcPr>
            <w:tcW w:type="dxa" w:w="4252"/>
          </w:tcPr>
          <w:p>
            <w:r/>
            <w:r>
              <w:rPr>
                <w:sz w:val="17"/>
              </w:rPr>
              <w:t>9.0× vs UK peers 7–8×, Glenveagh P/E c.9.7×</w:t>
            </w:r>
          </w:p>
        </w:tc>
        <w:tc>
          <w:tcPr>
            <w:tcW w:type="dxa" w:w="3402"/>
          </w:tcPr>
          <w:p>
            <w:r/>
            <w:r>
              <w:rPr>
                <w:sz w:val="17"/>
              </w:rPr>
              <w:t>Premium to peers, justified only by the higher ROE</w:t>
            </w:r>
          </w:p>
        </w:tc>
      </w:tr>
      <w:tr>
        <w:tc>
          <w:tcPr>
            <w:tcW w:type="dxa" w:w="1984"/>
          </w:tcPr>
          <w:p>
            <w:r/>
            <w:r>
              <w:rPr>
                <w:sz w:val="17"/>
              </w:rPr>
              <w:t>Net debt / equity</w:t>
            </w:r>
          </w:p>
        </w:tc>
        <w:tc>
          <w:tcPr>
            <w:tcW w:type="dxa" w:w="4252"/>
          </w:tcPr>
          <w:p>
            <w:r/>
            <w:r>
              <w:rPr>
                <w:sz w:val="17"/>
              </w:rPr>
              <w:t>23% (gearing; debt-to-GAV c.20%)</w:t>
            </w:r>
          </w:p>
        </w:tc>
        <w:tc>
          <w:tcPr>
            <w:tcW w:type="dxa" w:w="3402"/>
          </w:tcPr>
          <w:p>
            <w:r/>
            <w:r>
              <w:rPr>
                <w:sz w:val="17"/>
              </w:rPr>
              <w:t>Strong</w:t>
            </w:r>
          </w:p>
        </w:tc>
      </w:tr>
      <w:tr>
        <w:tc>
          <w:tcPr>
            <w:tcW w:type="dxa" w:w="1984"/>
          </w:tcPr>
          <w:p>
            <w:r/>
            <w:r>
              <w:rPr>
                <w:sz w:val="17"/>
              </w:rPr>
              <w:t>Rate sensitivity</w:t>
            </w:r>
          </w:p>
        </w:tc>
        <w:tc>
          <w:tcPr>
            <w:tcW w:type="dxa" w:w="4252"/>
          </w:tcPr>
          <w:p>
            <w:r/>
            <w:r>
              <w:rPr>
                <w:sz w:val="17"/>
              </w:rPr>
              <w:t>ECB +50 bps in 2026; Irish fixed mortgages c.3.1–4%+</w:t>
            </w:r>
          </w:p>
        </w:tc>
        <w:tc>
          <w:tcPr>
            <w:tcW w:type="dxa" w:w="3402"/>
          </w:tcPr>
          <w:p>
            <w:r/>
            <w:r>
              <w:rPr>
                <w:sz w:val="17"/>
              </w:rPr>
              <w:t>Main external risk</w:t>
            </w:r>
          </w:p>
        </w:tc>
      </w:tr>
    </w:tbl>
    <w:p/>
    <w:p>
      <w:pPr>
        <w:pStyle w:val="Heading1"/>
      </w:pPr>
      <w:r>
        <w:t>11. Five-Year Ratio Trend Analysis</w:t>
      </w:r>
    </w:p>
    <w:p>
      <w:pPr>
        <w:pStyle w:val="Heading2"/>
      </w:pPr>
      <w:r>
        <w:t>Base ratio table</w:t>
      </w:r>
    </w:p>
    <w:p>
      <w:r>
        <w:rPr>
          <w:b w:val="0"/>
          <w:i/>
          <w:sz w:val="16"/>
        </w:rPr>
        <w:t>Multiples use the fiscal year-end share price (FY21 €1.13, FY22 €0.868, FY23 €1.322, FY24 €2.325, FY25 €2.08) and the current €2.64 for TTM. FY21 balance-sheet items come from the FY21 results; FY21 share count is approximated at 745m; FY21 gross debt and FCF were not retrieved (n/a).</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2041"/>
            <w:shd w:val="clear" w:color="auto" w:fill="D9E2F3"/>
          </w:tcPr>
          <w:p>
            <w:r/>
            <w:r>
              <w:rPr>
                <w:b/>
                <w:sz w:val="17"/>
              </w:rPr>
              <w:t>Metric</w:t>
            </w:r>
          </w:p>
        </w:tc>
        <w:tc>
          <w:tcPr>
            <w:tcW w:type="dxa" w:w="1134"/>
            <w:shd w:val="clear" w:color="auto" w:fill="D9E2F3"/>
          </w:tcPr>
          <w:p>
            <w:r/>
            <w:r>
              <w:rPr>
                <w:b/>
                <w:sz w:val="17"/>
              </w:rPr>
              <w:t>FY2021</w:t>
            </w:r>
          </w:p>
        </w:tc>
        <w:tc>
          <w:tcPr>
            <w:tcW w:type="dxa" w:w="1134"/>
            <w:shd w:val="clear" w:color="auto" w:fill="D9E2F3"/>
          </w:tcPr>
          <w:p>
            <w:r/>
            <w:r>
              <w:rPr>
                <w:b/>
                <w:sz w:val="17"/>
              </w:rPr>
              <w:t>FY2022</w:t>
            </w:r>
          </w:p>
        </w:tc>
        <w:tc>
          <w:tcPr>
            <w:tcW w:type="dxa" w:w="1134"/>
            <w:shd w:val="clear" w:color="auto" w:fill="D9E2F3"/>
          </w:tcPr>
          <w:p>
            <w:r/>
            <w:r>
              <w:rPr>
                <w:b/>
                <w:sz w:val="17"/>
              </w:rPr>
              <w:t>FY2023</w:t>
            </w:r>
          </w:p>
        </w:tc>
        <w:tc>
          <w:tcPr>
            <w:tcW w:type="dxa" w:w="1134"/>
            <w:shd w:val="clear" w:color="auto" w:fill="D9E2F3"/>
          </w:tcPr>
          <w:p>
            <w:r/>
            <w:r>
              <w:rPr>
                <w:b/>
                <w:sz w:val="17"/>
              </w:rPr>
              <w:t>FY2024</w:t>
            </w:r>
          </w:p>
        </w:tc>
        <w:tc>
          <w:tcPr>
            <w:tcW w:type="dxa" w:w="1134"/>
            <w:shd w:val="clear" w:color="auto" w:fill="D9E2F3"/>
          </w:tcPr>
          <w:p>
            <w:r/>
            <w:r>
              <w:rPr>
                <w:b/>
                <w:sz w:val="17"/>
              </w:rPr>
              <w:t>FY2025</w:t>
            </w:r>
          </w:p>
        </w:tc>
        <w:tc>
          <w:tcPr>
            <w:tcW w:type="dxa" w:w="1361"/>
            <w:shd w:val="clear" w:color="auto" w:fill="D9E2F3"/>
          </w:tcPr>
          <w:p>
            <w:r/>
            <w:r>
              <w:rPr>
                <w:b/>
                <w:sz w:val="17"/>
              </w:rPr>
              <w:t>TTM</w:t>
            </w:r>
          </w:p>
        </w:tc>
      </w:tr>
      <w:tr>
        <w:tc>
          <w:tcPr>
            <w:tcW w:type="dxa" w:w="2041"/>
          </w:tcPr>
          <w:p>
            <w:r/>
            <w:r>
              <w:rPr>
                <w:sz w:val="17"/>
              </w:rPr>
              <w:t>Revenue (€m)</w:t>
            </w:r>
          </w:p>
        </w:tc>
        <w:tc>
          <w:tcPr>
            <w:tcW w:type="dxa" w:w="1134"/>
          </w:tcPr>
          <w:p>
            <w:r/>
            <w:r>
              <w:rPr>
                <w:sz w:val="17"/>
              </w:rPr>
              <w:t>424.0</w:t>
            </w:r>
          </w:p>
        </w:tc>
        <w:tc>
          <w:tcPr>
            <w:tcW w:type="dxa" w:w="1134"/>
          </w:tcPr>
          <w:p>
            <w:r/>
            <w:r>
              <w:rPr>
                <w:sz w:val="17"/>
              </w:rPr>
              <w:t>617.4</w:t>
            </w:r>
          </w:p>
        </w:tc>
        <w:tc>
          <w:tcPr>
            <w:tcW w:type="dxa" w:w="1134"/>
          </w:tcPr>
          <w:p>
            <w:r/>
            <w:r>
              <w:rPr>
                <w:sz w:val="17"/>
              </w:rPr>
              <w:t>666.8</w:t>
            </w:r>
          </w:p>
        </w:tc>
        <w:tc>
          <w:tcPr>
            <w:tcW w:type="dxa" w:w="1134"/>
          </w:tcPr>
          <w:p>
            <w:r/>
            <w:r>
              <w:rPr>
                <w:sz w:val="17"/>
              </w:rPr>
              <w:t>859.9</w:t>
            </w:r>
          </w:p>
        </w:tc>
        <w:tc>
          <w:tcPr>
            <w:tcW w:type="dxa" w:w="1134"/>
          </w:tcPr>
          <w:p>
            <w:r/>
            <w:r>
              <w:rPr>
                <w:sz w:val="17"/>
              </w:rPr>
              <w:t>944.6</w:t>
            </w:r>
          </w:p>
        </w:tc>
        <w:tc>
          <w:tcPr>
            <w:tcW w:type="dxa" w:w="1361"/>
          </w:tcPr>
          <w:p>
            <w:r/>
            <w:r>
              <w:rPr>
                <w:sz w:val="17"/>
              </w:rPr>
              <w:t>1,115.6</w:t>
            </w:r>
          </w:p>
        </w:tc>
      </w:tr>
      <w:tr>
        <w:tc>
          <w:tcPr>
            <w:tcW w:type="dxa" w:w="2041"/>
          </w:tcPr>
          <w:p>
            <w:r/>
            <w:r>
              <w:rPr>
                <w:sz w:val="17"/>
              </w:rPr>
              <w:t>Revenue growth YoY</w:t>
            </w:r>
          </w:p>
        </w:tc>
        <w:tc>
          <w:tcPr>
            <w:tcW w:type="dxa" w:w="1134"/>
          </w:tcPr>
          <w:p>
            <w:r/>
            <w:r>
              <w:rPr>
                <w:sz w:val="17"/>
              </w:rPr>
              <w:t>+62%</w:t>
            </w:r>
          </w:p>
        </w:tc>
        <w:tc>
          <w:tcPr>
            <w:tcW w:type="dxa" w:w="1134"/>
          </w:tcPr>
          <w:p>
            <w:r/>
            <w:r>
              <w:rPr>
                <w:sz w:val="17"/>
              </w:rPr>
              <w:t>+46%</w:t>
            </w:r>
          </w:p>
        </w:tc>
        <w:tc>
          <w:tcPr>
            <w:tcW w:type="dxa" w:w="1134"/>
          </w:tcPr>
          <w:p>
            <w:r/>
            <w:r>
              <w:rPr>
                <w:sz w:val="17"/>
              </w:rPr>
              <w:t>+8.0%</w:t>
            </w:r>
          </w:p>
        </w:tc>
        <w:tc>
          <w:tcPr>
            <w:tcW w:type="dxa" w:w="1134"/>
          </w:tcPr>
          <w:p>
            <w:r/>
            <w:r>
              <w:rPr>
                <w:sz w:val="17"/>
              </w:rPr>
              <w:t>+29%</w:t>
            </w:r>
          </w:p>
        </w:tc>
        <w:tc>
          <w:tcPr>
            <w:tcW w:type="dxa" w:w="1134"/>
          </w:tcPr>
          <w:p>
            <w:r/>
            <w:r>
              <w:rPr>
                <w:sz w:val="17"/>
              </w:rPr>
              <w:t>+9.9%</w:t>
            </w:r>
          </w:p>
        </w:tc>
        <w:tc>
          <w:tcPr>
            <w:tcW w:type="dxa" w:w="1361"/>
          </w:tcPr>
          <w:p>
            <w:r/>
            <w:r>
              <w:rPr>
                <w:sz w:val="17"/>
              </w:rPr>
              <w:t>+18% vs FY25</w:t>
            </w:r>
          </w:p>
        </w:tc>
      </w:tr>
      <w:tr>
        <w:tc>
          <w:tcPr>
            <w:tcW w:type="dxa" w:w="2041"/>
          </w:tcPr>
          <w:p>
            <w:r/>
            <w:r>
              <w:rPr>
                <w:sz w:val="17"/>
              </w:rPr>
              <w:t>Gross margin</w:t>
            </w:r>
          </w:p>
        </w:tc>
        <w:tc>
          <w:tcPr>
            <w:tcW w:type="dxa" w:w="1134"/>
          </w:tcPr>
          <w:p>
            <w:r/>
            <w:r>
              <w:rPr>
                <w:sz w:val="17"/>
              </w:rPr>
              <w:t>19.8%</w:t>
            </w:r>
          </w:p>
        </w:tc>
        <w:tc>
          <w:tcPr>
            <w:tcW w:type="dxa" w:w="1134"/>
          </w:tcPr>
          <w:p>
            <w:r/>
            <w:r>
              <w:rPr>
                <w:sz w:val="17"/>
              </w:rPr>
              <w:t>21.7%</w:t>
            </w:r>
          </w:p>
        </w:tc>
        <w:tc>
          <w:tcPr>
            <w:tcW w:type="dxa" w:w="1134"/>
          </w:tcPr>
          <w:p>
            <w:r/>
            <w:r>
              <w:rPr>
                <w:sz w:val="17"/>
              </w:rPr>
              <w:t>22.1%</w:t>
            </w:r>
          </w:p>
        </w:tc>
        <w:tc>
          <w:tcPr>
            <w:tcW w:type="dxa" w:w="1134"/>
          </w:tcPr>
          <w:p>
            <w:r/>
            <w:r>
              <w:rPr>
                <w:sz w:val="17"/>
              </w:rPr>
              <w:t>21.7%</w:t>
            </w:r>
          </w:p>
        </w:tc>
        <w:tc>
          <w:tcPr>
            <w:tcW w:type="dxa" w:w="1134"/>
          </w:tcPr>
          <w:p>
            <w:r/>
            <w:r>
              <w:rPr>
                <w:sz w:val="17"/>
              </w:rPr>
              <w:t>22.1%</w:t>
            </w:r>
          </w:p>
        </w:tc>
        <w:tc>
          <w:tcPr>
            <w:tcW w:type="dxa" w:w="1361"/>
          </w:tcPr>
          <w:p>
            <w:r/>
            <w:r>
              <w:rPr>
                <w:sz w:val="17"/>
              </w:rPr>
              <w:t>21.7%</w:t>
            </w:r>
          </w:p>
        </w:tc>
      </w:tr>
      <w:tr>
        <w:tc>
          <w:tcPr>
            <w:tcW w:type="dxa" w:w="2041"/>
          </w:tcPr>
          <w:p>
            <w:r/>
            <w:r>
              <w:rPr>
                <w:sz w:val="17"/>
              </w:rPr>
              <w:t>EBITDA margin</w:t>
            </w:r>
          </w:p>
        </w:tc>
        <w:tc>
          <w:tcPr>
            <w:tcW w:type="dxa" w:w="1134"/>
          </w:tcPr>
          <w:p>
            <w:r/>
            <w:r>
              <w:rPr>
                <w:sz w:val="17"/>
              </w:rPr>
              <w:t>c.14.2%</w:t>
            </w:r>
          </w:p>
        </w:tc>
        <w:tc>
          <w:tcPr>
            <w:tcW w:type="dxa" w:w="1134"/>
          </w:tcPr>
          <w:p>
            <w:r/>
            <w:r>
              <w:rPr>
                <w:sz w:val="17"/>
              </w:rPr>
              <w:t>16.8%</w:t>
            </w:r>
          </w:p>
        </w:tc>
        <w:tc>
          <w:tcPr>
            <w:tcW w:type="dxa" w:w="1134"/>
          </w:tcPr>
          <w:p>
            <w:r/>
            <w:r>
              <w:rPr>
                <w:sz w:val="17"/>
              </w:rPr>
              <w:t>17.3%</w:t>
            </w:r>
          </w:p>
        </w:tc>
        <w:tc>
          <w:tcPr>
            <w:tcW w:type="dxa" w:w="1134"/>
          </w:tcPr>
          <w:p>
            <w:r/>
            <w:r>
              <w:rPr>
                <w:sz w:val="17"/>
              </w:rPr>
              <w:t>17.7%</w:t>
            </w:r>
          </w:p>
        </w:tc>
        <w:tc>
          <w:tcPr>
            <w:tcW w:type="dxa" w:w="1134"/>
          </w:tcPr>
          <w:p>
            <w:r/>
            <w:r>
              <w:rPr>
                <w:sz w:val="17"/>
              </w:rPr>
              <w:t>18.0%</w:t>
            </w:r>
          </w:p>
        </w:tc>
        <w:tc>
          <w:tcPr>
            <w:tcW w:type="dxa" w:w="1361"/>
          </w:tcPr>
          <w:p>
            <w:r/>
            <w:r>
              <w:rPr>
                <w:sz w:val="17"/>
              </w:rPr>
              <w:t>18.2%</w:t>
            </w:r>
          </w:p>
        </w:tc>
      </w:tr>
      <w:tr>
        <w:tc>
          <w:tcPr>
            <w:tcW w:type="dxa" w:w="2041"/>
          </w:tcPr>
          <w:p>
            <w:r/>
            <w:r>
              <w:rPr>
                <w:sz w:val="17"/>
              </w:rPr>
              <w:t>Net margin</w:t>
            </w:r>
          </w:p>
        </w:tc>
        <w:tc>
          <w:tcPr>
            <w:tcW w:type="dxa" w:w="1134"/>
          </w:tcPr>
          <w:p>
            <w:r/>
            <w:r>
              <w:rPr>
                <w:sz w:val="17"/>
              </w:rPr>
              <w:t>10.2%</w:t>
            </w:r>
          </w:p>
        </w:tc>
        <w:tc>
          <w:tcPr>
            <w:tcW w:type="dxa" w:w="1134"/>
          </w:tcPr>
          <w:p>
            <w:r/>
            <w:r>
              <w:rPr>
                <w:sz w:val="17"/>
              </w:rPr>
              <w:t>13.1%</w:t>
            </w:r>
          </w:p>
        </w:tc>
        <w:tc>
          <w:tcPr>
            <w:tcW w:type="dxa" w:w="1134"/>
          </w:tcPr>
          <w:p>
            <w:r/>
            <w:r>
              <w:rPr>
                <w:sz w:val="17"/>
              </w:rPr>
              <w:t>12.8%</w:t>
            </w:r>
          </w:p>
        </w:tc>
        <w:tc>
          <w:tcPr>
            <w:tcW w:type="dxa" w:w="1134"/>
          </w:tcPr>
          <w:p>
            <w:r/>
            <w:r>
              <w:rPr>
                <w:sz w:val="17"/>
              </w:rPr>
              <w:t>13.3%</w:t>
            </w:r>
          </w:p>
        </w:tc>
        <w:tc>
          <w:tcPr>
            <w:tcW w:type="dxa" w:w="1134"/>
          </w:tcPr>
          <w:p>
            <w:r/>
            <w:r>
              <w:rPr>
                <w:sz w:val="17"/>
              </w:rPr>
              <w:t>14.0%</w:t>
            </w:r>
          </w:p>
        </w:tc>
        <w:tc>
          <w:tcPr>
            <w:tcW w:type="dxa" w:w="1361"/>
          </w:tcPr>
          <w:p>
            <w:r/>
            <w:r>
              <w:rPr>
                <w:sz w:val="17"/>
              </w:rPr>
              <w:t>14.3%</w:t>
            </w:r>
          </w:p>
        </w:tc>
      </w:tr>
      <w:tr>
        <w:tc>
          <w:tcPr>
            <w:tcW w:type="dxa" w:w="2041"/>
          </w:tcPr>
          <w:p>
            <w:r/>
            <w:r>
              <w:rPr>
                <w:sz w:val="17"/>
              </w:rPr>
              <w:t>ROE (NI / YE equity)</w:t>
            </w:r>
          </w:p>
        </w:tc>
        <w:tc>
          <w:tcPr>
            <w:tcW w:type="dxa" w:w="1134"/>
          </w:tcPr>
          <w:p>
            <w:r/>
            <w:r>
              <w:rPr>
                <w:sz w:val="17"/>
              </w:rPr>
              <w:t>5.5%</w:t>
            </w:r>
          </w:p>
        </w:tc>
        <w:tc>
          <w:tcPr>
            <w:tcW w:type="dxa" w:w="1134"/>
          </w:tcPr>
          <w:p>
            <w:r/>
            <w:r>
              <w:rPr>
                <w:sz w:val="17"/>
              </w:rPr>
              <w:t>10.8%</w:t>
            </w:r>
          </w:p>
        </w:tc>
        <w:tc>
          <w:tcPr>
            <w:tcW w:type="dxa" w:w="1134"/>
          </w:tcPr>
          <w:p>
            <w:r/>
            <w:r>
              <w:rPr>
                <w:sz w:val="17"/>
              </w:rPr>
              <w:t>11.3%</w:t>
            </w:r>
          </w:p>
        </w:tc>
        <w:tc>
          <w:tcPr>
            <w:tcW w:type="dxa" w:w="1134"/>
          </w:tcPr>
          <w:p>
            <w:r/>
            <w:r>
              <w:rPr>
                <w:sz w:val="17"/>
              </w:rPr>
              <w:t>15.1%</w:t>
            </w:r>
          </w:p>
        </w:tc>
        <w:tc>
          <w:tcPr>
            <w:tcW w:type="dxa" w:w="1134"/>
          </w:tcPr>
          <w:p>
            <w:r/>
            <w:r>
              <w:rPr>
                <w:sz w:val="17"/>
              </w:rPr>
              <w:t>15.9%</w:t>
            </w:r>
          </w:p>
        </w:tc>
        <w:tc>
          <w:tcPr>
            <w:tcW w:type="dxa" w:w="1361"/>
          </w:tcPr>
          <w:p>
            <w:r/>
            <w:r>
              <w:rPr>
                <w:sz w:val="17"/>
              </w:rPr>
              <w:t>18.5%</w:t>
            </w:r>
          </w:p>
        </w:tc>
      </w:tr>
      <w:tr>
        <w:tc>
          <w:tcPr>
            <w:tcW w:type="dxa" w:w="2041"/>
          </w:tcPr>
          <w:p>
            <w:r/>
            <w:r>
              <w:rPr>
                <w:sz w:val="17"/>
              </w:rPr>
              <w:t>P/E</w:t>
            </w:r>
          </w:p>
        </w:tc>
        <w:tc>
          <w:tcPr>
            <w:tcW w:type="dxa" w:w="1134"/>
          </w:tcPr>
          <w:p>
            <w:r/>
            <w:r>
              <w:rPr>
                <w:sz w:val="17"/>
              </w:rPr>
              <w:t>19.5×</w:t>
            </w:r>
          </w:p>
        </w:tc>
        <w:tc>
          <w:tcPr>
            <w:tcW w:type="dxa" w:w="1134"/>
          </w:tcPr>
          <w:p>
            <w:r/>
            <w:r>
              <w:rPr>
                <w:sz w:val="17"/>
              </w:rPr>
              <w:t>7.6×</w:t>
            </w:r>
          </w:p>
        </w:tc>
        <w:tc>
          <w:tcPr>
            <w:tcW w:type="dxa" w:w="1134"/>
          </w:tcPr>
          <w:p>
            <w:r/>
            <w:r>
              <w:rPr>
                <w:sz w:val="17"/>
              </w:rPr>
              <w:t>10.5×</w:t>
            </w:r>
          </w:p>
        </w:tc>
        <w:tc>
          <w:tcPr>
            <w:tcW w:type="dxa" w:w="1134"/>
          </w:tcPr>
          <w:p>
            <w:r/>
            <w:r>
              <w:rPr>
                <w:sz w:val="17"/>
              </w:rPr>
              <w:t>13.1×</w:t>
            </w:r>
          </w:p>
        </w:tc>
        <w:tc>
          <w:tcPr>
            <w:tcW w:type="dxa" w:w="1134"/>
          </w:tcPr>
          <w:p>
            <w:r/>
            <w:r>
              <w:rPr>
                <w:sz w:val="17"/>
              </w:rPr>
              <w:t>9.9×</w:t>
            </w:r>
          </w:p>
        </w:tc>
        <w:tc>
          <w:tcPr>
            <w:tcW w:type="dxa" w:w="1361"/>
          </w:tcPr>
          <w:p>
            <w:r/>
            <w:r>
              <w:rPr>
                <w:sz w:val="17"/>
              </w:rPr>
              <w:t>10.4×</w:t>
            </w:r>
          </w:p>
        </w:tc>
      </w:tr>
      <w:tr>
        <w:tc>
          <w:tcPr>
            <w:tcW w:type="dxa" w:w="2041"/>
          </w:tcPr>
          <w:p>
            <w:r/>
            <w:r>
              <w:rPr>
                <w:sz w:val="17"/>
              </w:rPr>
              <w:t>P/S</w:t>
            </w:r>
          </w:p>
        </w:tc>
        <w:tc>
          <w:tcPr>
            <w:tcW w:type="dxa" w:w="1134"/>
          </w:tcPr>
          <w:p>
            <w:r/>
            <w:r>
              <w:rPr>
                <w:sz w:val="17"/>
              </w:rPr>
              <w:t>c.2.0×</w:t>
            </w:r>
          </w:p>
        </w:tc>
        <w:tc>
          <w:tcPr>
            <w:tcW w:type="dxa" w:w="1134"/>
          </w:tcPr>
          <w:p>
            <w:r/>
            <w:r>
              <w:rPr>
                <w:sz w:val="17"/>
              </w:rPr>
              <w:t>0.96×</w:t>
            </w:r>
          </w:p>
        </w:tc>
        <w:tc>
          <w:tcPr>
            <w:tcW w:type="dxa" w:w="1134"/>
          </w:tcPr>
          <w:p>
            <w:r/>
            <w:r>
              <w:rPr>
                <w:sz w:val="17"/>
              </w:rPr>
              <w:t>1.29×</w:t>
            </w:r>
          </w:p>
        </w:tc>
        <w:tc>
          <w:tcPr>
            <w:tcW w:type="dxa" w:w="1134"/>
          </w:tcPr>
          <w:p>
            <w:r/>
            <w:r>
              <w:rPr>
                <w:sz w:val="17"/>
              </w:rPr>
              <w:t>1.67×</w:t>
            </w:r>
          </w:p>
        </w:tc>
        <w:tc>
          <w:tcPr>
            <w:tcW w:type="dxa" w:w="1134"/>
          </w:tcPr>
          <w:p>
            <w:r/>
            <w:r>
              <w:rPr>
                <w:sz w:val="17"/>
              </w:rPr>
              <w:t>1.36×</w:t>
            </w:r>
          </w:p>
        </w:tc>
        <w:tc>
          <w:tcPr>
            <w:tcW w:type="dxa" w:w="1361"/>
          </w:tcPr>
          <w:p>
            <w:r/>
            <w:r>
              <w:rPr>
                <w:sz w:val="17"/>
              </w:rPr>
              <w:t>1.46×</w:t>
            </w:r>
          </w:p>
        </w:tc>
      </w:tr>
      <w:tr>
        <w:tc>
          <w:tcPr>
            <w:tcW w:type="dxa" w:w="2041"/>
          </w:tcPr>
          <w:p>
            <w:r/>
            <w:r>
              <w:rPr>
                <w:sz w:val="17"/>
              </w:rPr>
              <w:t>P/B</w:t>
            </w:r>
          </w:p>
        </w:tc>
        <w:tc>
          <w:tcPr>
            <w:tcW w:type="dxa" w:w="1134"/>
          </w:tcPr>
          <w:p>
            <w:r/>
            <w:r>
              <w:rPr>
                <w:sz w:val="17"/>
              </w:rPr>
              <w:t>c.1.08×</w:t>
            </w:r>
          </w:p>
        </w:tc>
        <w:tc>
          <w:tcPr>
            <w:tcW w:type="dxa" w:w="1134"/>
          </w:tcPr>
          <w:p>
            <w:r/>
            <w:r>
              <w:rPr>
                <w:sz w:val="17"/>
              </w:rPr>
              <w:t>0.79×</w:t>
            </w:r>
          </w:p>
        </w:tc>
        <w:tc>
          <w:tcPr>
            <w:tcW w:type="dxa" w:w="1134"/>
          </w:tcPr>
          <w:p>
            <w:r/>
            <w:r>
              <w:rPr>
                <w:sz w:val="17"/>
              </w:rPr>
              <w:t>1.14×</w:t>
            </w:r>
          </w:p>
        </w:tc>
        <w:tc>
          <w:tcPr>
            <w:tcW w:type="dxa" w:w="1134"/>
          </w:tcPr>
          <w:p>
            <w:r/>
            <w:r>
              <w:rPr>
                <w:sz w:val="17"/>
              </w:rPr>
              <w:t>1.89×</w:t>
            </w:r>
          </w:p>
        </w:tc>
        <w:tc>
          <w:tcPr>
            <w:tcW w:type="dxa" w:w="1134"/>
          </w:tcPr>
          <w:p>
            <w:r/>
            <w:r>
              <w:rPr>
                <w:sz w:val="17"/>
              </w:rPr>
              <w:t>1.54×</w:t>
            </w:r>
          </w:p>
        </w:tc>
        <w:tc>
          <w:tcPr>
            <w:tcW w:type="dxa" w:w="1361"/>
          </w:tcPr>
          <w:p>
            <w:r/>
            <w:r>
              <w:rPr>
                <w:sz w:val="17"/>
              </w:rPr>
              <w:t>1.90×</w:t>
            </w:r>
          </w:p>
        </w:tc>
      </w:tr>
      <w:tr>
        <w:tc>
          <w:tcPr>
            <w:tcW w:type="dxa" w:w="2041"/>
          </w:tcPr>
          <w:p>
            <w:r/>
            <w:r>
              <w:rPr>
                <w:sz w:val="17"/>
              </w:rPr>
              <w:t>EV/Revenue</w:t>
            </w:r>
          </w:p>
        </w:tc>
        <w:tc>
          <w:tcPr>
            <w:tcW w:type="dxa" w:w="1134"/>
          </w:tcPr>
          <w:p>
            <w:r/>
            <w:r>
              <w:rPr>
                <w:sz w:val="17"/>
              </w:rPr>
              <w:t>c.2.2×</w:t>
            </w:r>
          </w:p>
        </w:tc>
        <w:tc>
          <w:tcPr>
            <w:tcW w:type="dxa" w:w="1134"/>
          </w:tcPr>
          <w:p>
            <w:r/>
            <w:r>
              <w:rPr>
                <w:sz w:val="17"/>
              </w:rPr>
              <w:t>1.21×</w:t>
            </w:r>
          </w:p>
        </w:tc>
        <w:tc>
          <w:tcPr>
            <w:tcW w:type="dxa" w:w="1134"/>
          </w:tcPr>
          <w:p>
            <w:r/>
            <w:r>
              <w:rPr>
                <w:sz w:val="17"/>
              </w:rPr>
              <w:t>1.52×</w:t>
            </w:r>
          </w:p>
        </w:tc>
        <w:tc>
          <w:tcPr>
            <w:tcW w:type="dxa" w:w="1134"/>
          </w:tcPr>
          <w:p>
            <w:r/>
            <w:r>
              <w:rPr>
                <w:sz w:val="17"/>
              </w:rPr>
              <w:t>1.85×</w:t>
            </w:r>
          </w:p>
        </w:tc>
        <w:tc>
          <w:tcPr>
            <w:tcW w:type="dxa" w:w="1134"/>
          </w:tcPr>
          <w:p>
            <w:r/>
            <w:r>
              <w:rPr>
                <w:sz w:val="17"/>
              </w:rPr>
              <w:t>1.54×</w:t>
            </w:r>
          </w:p>
        </w:tc>
        <w:tc>
          <w:tcPr>
            <w:tcW w:type="dxa" w:w="1361"/>
          </w:tcPr>
          <w:p>
            <w:r/>
            <w:r>
              <w:rPr>
                <w:sz w:val="17"/>
              </w:rPr>
              <w:t>1.64×</w:t>
            </w:r>
          </w:p>
        </w:tc>
      </w:tr>
      <w:tr>
        <w:tc>
          <w:tcPr>
            <w:tcW w:type="dxa" w:w="2041"/>
          </w:tcPr>
          <w:p>
            <w:r/>
            <w:r>
              <w:rPr>
                <w:sz w:val="17"/>
              </w:rPr>
              <w:t>EV/EBITDA</w:t>
            </w:r>
          </w:p>
        </w:tc>
        <w:tc>
          <w:tcPr>
            <w:tcW w:type="dxa" w:w="1134"/>
          </w:tcPr>
          <w:p>
            <w:r/>
            <w:r>
              <w:rPr>
                <w:sz w:val="17"/>
              </w:rPr>
              <w:t>c.15.8×</w:t>
            </w:r>
          </w:p>
        </w:tc>
        <w:tc>
          <w:tcPr>
            <w:tcW w:type="dxa" w:w="1134"/>
          </w:tcPr>
          <w:p>
            <w:r/>
            <w:r>
              <w:rPr>
                <w:sz w:val="17"/>
              </w:rPr>
              <w:t>7.2×</w:t>
            </w:r>
          </w:p>
        </w:tc>
        <w:tc>
          <w:tcPr>
            <w:tcW w:type="dxa" w:w="1134"/>
          </w:tcPr>
          <w:p>
            <w:r/>
            <w:r>
              <w:rPr>
                <w:sz w:val="17"/>
              </w:rPr>
              <w:t>8.8×</w:t>
            </w:r>
          </w:p>
        </w:tc>
        <w:tc>
          <w:tcPr>
            <w:tcW w:type="dxa" w:w="1134"/>
          </w:tcPr>
          <w:p>
            <w:r/>
            <w:r>
              <w:rPr>
                <w:sz w:val="17"/>
              </w:rPr>
              <w:t>10.4×</w:t>
            </w:r>
          </w:p>
        </w:tc>
        <w:tc>
          <w:tcPr>
            <w:tcW w:type="dxa" w:w="1134"/>
          </w:tcPr>
          <w:p>
            <w:r/>
            <w:r>
              <w:rPr>
                <w:sz w:val="17"/>
              </w:rPr>
              <w:t>8.5×</w:t>
            </w:r>
          </w:p>
        </w:tc>
        <w:tc>
          <w:tcPr>
            <w:tcW w:type="dxa" w:w="1361"/>
          </w:tcPr>
          <w:p>
            <w:r/>
            <w:r>
              <w:rPr>
                <w:sz w:val="17"/>
              </w:rPr>
              <w:t>9.0×</w:t>
            </w:r>
          </w:p>
        </w:tc>
      </w:tr>
      <w:tr>
        <w:tc>
          <w:tcPr>
            <w:tcW w:type="dxa" w:w="2041"/>
          </w:tcPr>
          <w:p>
            <w:r/>
            <w:r>
              <w:rPr>
                <w:sz w:val="17"/>
              </w:rPr>
              <w:t>Debt/Equity (gross)</w:t>
            </w:r>
          </w:p>
        </w:tc>
        <w:tc>
          <w:tcPr>
            <w:tcW w:type="dxa" w:w="1134"/>
          </w:tcPr>
          <w:p>
            <w:r/>
            <w:r>
              <w:rPr>
                <w:sz w:val="17"/>
              </w:rPr>
              <w:t>n/a</w:t>
            </w:r>
          </w:p>
        </w:tc>
        <w:tc>
          <w:tcPr>
            <w:tcW w:type="dxa" w:w="1134"/>
          </w:tcPr>
          <w:p>
            <w:r/>
            <w:r>
              <w:rPr>
                <w:sz w:val="17"/>
              </w:rPr>
              <w:t>0.24</w:t>
            </w:r>
          </w:p>
        </w:tc>
        <w:tc>
          <w:tcPr>
            <w:tcW w:type="dxa" w:w="1134"/>
          </w:tcPr>
          <w:p>
            <w:r/>
            <w:r>
              <w:rPr>
                <w:sz w:val="17"/>
              </w:rPr>
              <w:t>0.24</w:t>
            </w:r>
          </w:p>
        </w:tc>
        <w:tc>
          <w:tcPr>
            <w:tcW w:type="dxa" w:w="1134"/>
          </w:tcPr>
          <w:p>
            <w:r/>
            <w:r>
              <w:rPr>
                <w:sz w:val="17"/>
              </w:rPr>
              <w:t>0.25</w:t>
            </w:r>
          </w:p>
        </w:tc>
        <w:tc>
          <w:tcPr>
            <w:tcW w:type="dxa" w:w="1134"/>
          </w:tcPr>
          <w:p>
            <w:r/>
            <w:r>
              <w:rPr>
                <w:sz w:val="17"/>
              </w:rPr>
              <w:t>0.28</w:t>
            </w:r>
          </w:p>
        </w:tc>
        <w:tc>
          <w:tcPr>
            <w:tcW w:type="dxa" w:w="1361"/>
          </w:tcPr>
          <w:p>
            <w:r/>
            <w:r>
              <w:rPr>
                <w:sz w:val="17"/>
              </w:rPr>
              <w:t>0.29</w:t>
            </w:r>
          </w:p>
        </w:tc>
      </w:tr>
      <w:tr>
        <w:tc>
          <w:tcPr>
            <w:tcW w:type="dxa" w:w="2041"/>
          </w:tcPr>
          <w:p>
            <w:r/>
            <w:r>
              <w:rPr>
                <w:sz w:val="17"/>
              </w:rPr>
              <w:t>Net (debt) €m</w:t>
            </w:r>
          </w:p>
        </w:tc>
        <w:tc>
          <w:tcPr>
            <w:tcW w:type="dxa" w:w="1134"/>
          </w:tcPr>
          <w:p>
            <w:r/>
            <w:r>
              <w:rPr>
                <w:sz w:val="17"/>
              </w:rPr>
              <w:t>(109.5)</w:t>
            </w:r>
          </w:p>
        </w:tc>
        <w:tc>
          <w:tcPr>
            <w:tcW w:type="dxa" w:w="1134"/>
          </w:tcPr>
          <w:p>
            <w:r/>
            <w:r>
              <w:rPr>
                <w:sz w:val="17"/>
              </w:rPr>
              <w:t>(149.3)</w:t>
            </w:r>
          </w:p>
        </w:tc>
        <w:tc>
          <w:tcPr>
            <w:tcW w:type="dxa" w:w="1134"/>
          </w:tcPr>
          <w:p>
            <w:r/>
            <w:r>
              <w:rPr>
                <w:sz w:val="17"/>
              </w:rPr>
              <w:t>(148.3)</w:t>
            </w:r>
          </w:p>
        </w:tc>
        <w:tc>
          <w:tcPr>
            <w:tcW w:type="dxa" w:w="1134"/>
          </w:tcPr>
          <w:p>
            <w:r/>
            <w:r>
              <w:rPr>
                <w:sz w:val="17"/>
              </w:rPr>
              <w:t>(154.4)</w:t>
            </w:r>
          </w:p>
        </w:tc>
        <w:tc>
          <w:tcPr>
            <w:tcW w:type="dxa" w:w="1134"/>
          </w:tcPr>
          <w:p>
            <w:r/>
            <w:r>
              <w:rPr>
                <w:sz w:val="17"/>
              </w:rPr>
              <w:t>(171.3)</w:t>
            </w:r>
          </w:p>
        </w:tc>
        <w:tc>
          <w:tcPr>
            <w:tcW w:type="dxa" w:w="1361"/>
          </w:tcPr>
          <w:p>
            <w:r/>
            <w:r>
              <w:rPr>
                <w:sz w:val="17"/>
              </w:rPr>
              <w:t>(194.5)</w:t>
            </w:r>
          </w:p>
        </w:tc>
      </w:tr>
      <w:tr>
        <w:tc>
          <w:tcPr>
            <w:tcW w:type="dxa" w:w="2041"/>
          </w:tcPr>
          <w:p>
            <w:r/>
            <w:r>
              <w:rPr>
                <w:sz w:val="17"/>
              </w:rPr>
              <w:t>FCF margin</w:t>
            </w:r>
          </w:p>
        </w:tc>
        <w:tc>
          <w:tcPr>
            <w:tcW w:type="dxa" w:w="1134"/>
          </w:tcPr>
          <w:p>
            <w:r/>
            <w:r>
              <w:rPr>
                <w:sz w:val="17"/>
              </w:rPr>
              <w:t>n/a</w:t>
            </w:r>
          </w:p>
        </w:tc>
        <w:tc>
          <w:tcPr>
            <w:tcW w:type="dxa" w:w="1134"/>
          </w:tcPr>
          <w:p>
            <w:r/>
            <w:r>
              <w:rPr>
                <w:sz w:val="17"/>
              </w:rPr>
              <w:t>14.0%</w:t>
            </w:r>
          </w:p>
        </w:tc>
        <w:tc>
          <w:tcPr>
            <w:tcW w:type="dxa" w:w="1134"/>
          </w:tcPr>
          <w:p>
            <w:r/>
            <w:r>
              <w:rPr>
                <w:sz w:val="17"/>
              </w:rPr>
              <w:t>15.4%</w:t>
            </w:r>
          </w:p>
        </w:tc>
        <w:tc>
          <w:tcPr>
            <w:tcW w:type="dxa" w:w="1134"/>
          </w:tcPr>
          <w:p>
            <w:r/>
            <w:r>
              <w:rPr>
                <w:sz w:val="17"/>
              </w:rPr>
              <w:t>15.2%</w:t>
            </w:r>
          </w:p>
        </w:tc>
        <w:tc>
          <w:tcPr>
            <w:tcW w:type="dxa" w:w="1134"/>
          </w:tcPr>
          <w:p>
            <w:r/>
            <w:r>
              <w:rPr>
                <w:sz w:val="17"/>
              </w:rPr>
              <w:t>7.2%</w:t>
            </w:r>
          </w:p>
        </w:tc>
        <w:tc>
          <w:tcPr>
            <w:tcW w:type="dxa" w:w="1361"/>
          </w:tcPr>
          <w:p>
            <w:r/>
            <w:r>
              <w:rPr>
                <w:sz w:val="17"/>
              </w:rPr>
              <w:t>18.7%</w:t>
            </w:r>
          </w:p>
        </w:tc>
      </w:tr>
    </w:tbl>
    <w:p/>
    <w:p>
      <w:pPr>
        <w:pStyle w:val="Heading2"/>
      </w:pPr>
      <w:r>
        <w:t>Sector-specific ratio table (housebuilder)</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2608"/>
            <w:shd w:val="clear" w:color="auto" w:fill="D9E2F3"/>
          </w:tcPr>
          <w:p>
            <w:r/>
            <w:r>
              <w:rPr>
                <w:b/>
                <w:sz w:val="17"/>
              </w:rPr>
              <w:t>Metric</w:t>
            </w:r>
          </w:p>
        </w:tc>
        <w:tc>
          <w:tcPr>
            <w:tcW w:type="dxa" w:w="1077"/>
            <w:shd w:val="clear" w:color="auto" w:fill="D9E2F3"/>
          </w:tcPr>
          <w:p>
            <w:r/>
            <w:r>
              <w:rPr>
                <w:b/>
                <w:sz w:val="17"/>
              </w:rPr>
              <w:t>FY2021</w:t>
            </w:r>
          </w:p>
        </w:tc>
        <w:tc>
          <w:tcPr>
            <w:tcW w:type="dxa" w:w="1077"/>
            <w:shd w:val="clear" w:color="auto" w:fill="D9E2F3"/>
          </w:tcPr>
          <w:p>
            <w:r/>
            <w:r>
              <w:rPr>
                <w:b/>
                <w:sz w:val="17"/>
              </w:rPr>
              <w:t>FY2022</w:t>
            </w:r>
          </w:p>
        </w:tc>
        <w:tc>
          <w:tcPr>
            <w:tcW w:type="dxa" w:w="1077"/>
            <w:shd w:val="clear" w:color="auto" w:fill="D9E2F3"/>
          </w:tcPr>
          <w:p>
            <w:r/>
            <w:r>
              <w:rPr>
                <w:b/>
                <w:sz w:val="17"/>
              </w:rPr>
              <w:t>FY2023</w:t>
            </w:r>
          </w:p>
        </w:tc>
        <w:tc>
          <w:tcPr>
            <w:tcW w:type="dxa" w:w="1077"/>
            <w:shd w:val="clear" w:color="auto" w:fill="D9E2F3"/>
          </w:tcPr>
          <w:p>
            <w:r/>
            <w:r>
              <w:rPr>
                <w:b/>
                <w:sz w:val="17"/>
              </w:rPr>
              <w:t>FY2024</w:t>
            </w:r>
          </w:p>
        </w:tc>
        <w:tc>
          <w:tcPr>
            <w:tcW w:type="dxa" w:w="1077"/>
            <w:shd w:val="clear" w:color="auto" w:fill="D9E2F3"/>
          </w:tcPr>
          <w:p>
            <w:r/>
            <w:r>
              <w:rPr>
                <w:b/>
                <w:sz w:val="17"/>
              </w:rPr>
              <w:t>FY2025</w:t>
            </w:r>
          </w:p>
        </w:tc>
        <w:tc>
          <w:tcPr>
            <w:tcW w:type="dxa" w:w="1134"/>
            <w:shd w:val="clear" w:color="auto" w:fill="D9E2F3"/>
          </w:tcPr>
          <w:p>
            <w:r/>
            <w:r>
              <w:rPr>
                <w:b/>
                <w:sz w:val="17"/>
              </w:rPr>
              <w:t>TTM / latest</w:t>
            </w:r>
          </w:p>
        </w:tc>
      </w:tr>
      <w:tr>
        <w:tc>
          <w:tcPr>
            <w:tcW w:type="dxa" w:w="2608"/>
          </w:tcPr>
          <w:p>
            <w:r/>
            <w:r>
              <w:rPr>
                <w:sz w:val="17"/>
              </w:rPr>
              <w:t>Completions (units)</w:t>
            </w:r>
          </w:p>
        </w:tc>
        <w:tc>
          <w:tcPr>
            <w:tcW w:type="dxa" w:w="1077"/>
          </w:tcPr>
          <w:p>
            <w:r/>
            <w:r>
              <w:rPr>
                <w:sz w:val="17"/>
              </w:rPr>
              <w:t>1,120</w:t>
            </w:r>
          </w:p>
        </w:tc>
        <w:tc>
          <w:tcPr>
            <w:tcW w:type="dxa" w:w="1077"/>
          </w:tcPr>
          <w:p>
            <w:r/>
            <w:r>
              <w:rPr>
                <w:sz w:val="17"/>
              </w:rPr>
              <w:t>1,526</w:t>
            </w:r>
          </w:p>
        </w:tc>
        <w:tc>
          <w:tcPr>
            <w:tcW w:type="dxa" w:w="1077"/>
          </w:tcPr>
          <w:p>
            <w:r/>
            <w:r>
              <w:rPr>
                <w:sz w:val="17"/>
              </w:rPr>
              <w:t>1,741</w:t>
            </w:r>
          </w:p>
        </w:tc>
        <w:tc>
          <w:tcPr>
            <w:tcW w:type="dxa" w:w="1077"/>
          </w:tcPr>
          <w:p>
            <w:r/>
            <w:r>
              <w:rPr>
                <w:sz w:val="17"/>
              </w:rPr>
              <w:t>2,241</w:t>
            </w:r>
          </w:p>
        </w:tc>
        <w:tc>
          <w:tcPr>
            <w:tcW w:type="dxa" w:w="1077"/>
          </w:tcPr>
          <w:p>
            <w:r/>
            <w:r>
              <w:rPr>
                <w:sz w:val="17"/>
              </w:rPr>
              <w:t>2,365</w:t>
            </w:r>
          </w:p>
        </w:tc>
        <w:tc>
          <w:tcPr>
            <w:tcW w:type="dxa" w:w="1134"/>
          </w:tcPr>
          <w:p>
            <w:r/>
            <w:r>
              <w:rPr>
                <w:sz w:val="17"/>
              </w:rPr>
              <w:t>2,796</w:t>
            </w:r>
          </w:p>
        </w:tc>
      </w:tr>
      <w:tr>
        <w:tc>
          <w:tcPr>
            <w:tcW w:type="dxa" w:w="2608"/>
          </w:tcPr>
          <w:p>
            <w:r/>
            <w:r>
              <w:rPr>
                <w:sz w:val="17"/>
              </w:rPr>
              <w:t>Revenue per completion (implied, €k)*</w:t>
            </w:r>
          </w:p>
        </w:tc>
        <w:tc>
          <w:tcPr>
            <w:tcW w:type="dxa" w:w="1077"/>
          </w:tcPr>
          <w:p>
            <w:r/>
            <w:r>
              <w:rPr>
                <w:sz w:val="17"/>
              </w:rPr>
              <w:t>379</w:t>
            </w:r>
          </w:p>
        </w:tc>
        <w:tc>
          <w:tcPr>
            <w:tcW w:type="dxa" w:w="1077"/>
          </w:tcPr>
          <w:p>
            <w:r/>
            <w:r>
              <w:rPr>
                <w:sz w:val="17"/>
              </w:rPr>
              <w:t>405</w:t>
            </w:r>
          </w:p>
        </w:tc>
        <w:tc>
          <w:tcPr>
            <w:tcW w:type="dxa" w:w="1077"/>
          </w:tcPr>
          <w:p>
            <w:r/>
            <w:r>
              <w:rPr>
                <w:sz w:val="17"/>
              </w:rPr>
              <w:t>383</w:t>
            </w:r>
          </w:p>
        </w:tc>
        <w:tc>
          <w:tcPr>
            <w:tcW w:type="dxa" w:w="1077"/>
          </w:tcPr>
          <w:p>
            <w:r/>
            <w:r>
              <w:rPr>
                <w:sz w:val="17"/>
              </w:rPr>
              <w:t>384</w:t>
            </w:r>
          </w:p>
        </w:tc>
        <w:tc>
          <w:tcPr>
            <w:tcW w:type="dxa" w:w="1077"/>
          </w:tcPr>
          <w:p>
            <w:r/>
            <w:r>
              <w:rPr>
                <w:sz w:val="17"/>
              </w:rPr>
              <w:t>399</w:t>
            </w:r>
          </w:p>
        </w:tc>
        <w:tc>
          <w:tcPr>
            <w:tcW w:type="dxa" w:w="1134"/>
          </w:tcPr>
          <w:p>
            <w:r/>
            <w:r>
              <w:rPr>
                <w:sz w:val="17"/>
              </w:rPr>
              <w:t>399</w:t>
            </w:r>
          </w:p>
        </w:tc>
      </w:tr>
      <w:tr>
        <w:tc>
          <w:tcPr>
            <w:tcW w:type="dxa" w:w="2608"/>
          </w:tcPr>
          <w:p>
            <w:r/>
            <w:r>
              <w:rPr>
                <w:sz w:val="17"/>
              </w:rPr>
              <w:t>Operating margin</w:t>
            </w:r>
          </w:p>
        </w:tc>
        <w:tc>
          <w:tcPr>
            <w:tcW w:type="dxa" w:w="1077"/>
          </w:tcPr>
          <w:p>
            <w:r/>
            <w:r>
              <w:rPr>
                <w:sz w:val="17"/>
              </w:rPr>
              <w:t>13.8%</w:t>
            </w:r>
          </w:p>
        </w:tc>
        <w:tc>
          <w:tcPr>
            <w:tcW w:type="dxa" w:w="1077"/>
          </w:tcPr>
          <w:p>
            <w:r/>
            <w:r>
              <w:rPr>
                <w:sz w:val="17"/>
              </w:rPr>
              <w:t>16.7%</w:t>
            </w:r>
          </w:p>
        </w:tc>
        <w:tc>
          <w:tcPr>
            <w:tcW w:type="dxa" w:w="1077"/>
          </w:tcPr>
          <w:p>
            <w:r/>
            <w:r>
              <w:rPr>
                <w:sz w:val="17"/>
              </w:rPr>
              <w:t>17.0%</w:t>
            </w:r>
          </w:p>
        </w:tc>
        <w:tc>
          <w:tcPr>
            <w:tcW w:type="dxa" w:w="1077"/>
          </w:tcPr>
          <w:p>
            <w:r/>
            <w:r>
              <w:rPr>
                <w:sz w:val="17"/>
              </w:rPr>
              <w:t>17.4%</w:t>
            </w:r>
          </w:p>
        </w:tc>
        <w:tc>
          <w:tcPr>
            <w:tcW w:type="dxa" w:w="1077"/>
          </w:tcPr>
          <w:p>
            <w:r/>
            <w:r>
              <w:rPr>
                <w:sz w:val="17"/>
              </w:rPr>
              <w:t>17.8%</w:t>
            </w:r>
          </w:p>
        </w:tc>
        <w:tc>
          <w:tcPr>
            <w:tcW w:type="dxa" w:w="1134"/>
          </w:tcPr>
          <w:p>
            <w:r/>
            <w:r>
              <w:rPr>
                <w:sz w:val="17"/>
              </w:rPr>
              <w:t>18.0%</w:t>
            </w:r>
          </w:p>
        </w:tc>
      </w:tr>
      <w:tr>
        <w:tc>
          <w:tcPr>
            <w:tcW w:type="dxa" w:w="2608"/>
          </w:tcPr>
          <w:p>
            <w:r/>
            <w:r>
              <w:rPr>
                <w:sz w:val="17"/>
              </w:rPr>
              <w:t>ROIC (NOPLAT / (equity+net debt))</w:t>
            </w:r>
          </w:p>
        </w:tc>
        <w:tc>
          <w:tcPr>
            <w:tcW w:type="dxa" w:w="1077"/>
          </w:tcPr>
          <w:p>
            <w:r/>
            <w:r>
              <w:rPr>
                <w:sz w:val="17"/>
              </w:rPr>
              <w:t>5.8%</w:t>
            </w:r>
          </w:p>
        </w:tc>
        <w:tc>
          <w:tcPr>
            <w:tcW w:type="dxa" w:w="1077"/>
          </w:tcPr>
          <w:p>
            <w:r/>
            <w:r>
              <w:rPr>
                <w:sz w:val="17"/>
              </w:rPr>
              <w:t>10.0%</w:t>
            </w:r>
          </w:p>
        </w:tc>
        <w:tc>
          <w:tcPr>
            <w:tcW w:type="dxa" w:w="1077"/>
          </w:tcPr>
          <w:p>
            <w:r/>
            <w:r>
              <w:rPr>
                <w:sz w:val="17"/>
              </w:rPr>
              <w:t>11.0%</w:t>
            </w:r>
          </w:p>
        </w:tc>
        <w:tc>
          <w:tcPr>
            <w:tcW w:type="dxa" w:w="1077"/>
          </w:tcPr>
          <w:p>
            <w:r/>
            <w:r>
              <w:rPr>
                <w:sz w:val="17"/>
              </w:rPr>
              <w:t>14.4%</w:t>
            </w:r>
          </w:p>
        </w:tc>
        <w:tc>
          <w:tcPr>
            <w:tcW w:type="dxa" w:w="1077"/>
          </w:tcPr>
          <w:p>
            <w:r/>
            <w:r>
              <w:rPr>
                <w:sz w:val="17"/>
              </w:rPr>
              <w:t>14.6%</w:t>
            </w:r>
          </w:p>
        </w:tc>
        <w:tc>
          <w:tcPr>
            <w:tcW w:type="dxa" w:w="1134"/>
          </w:tcPr>
          <w:p>
            <w:r/>
            <w:r>
              <w:rPr>
                <w:sz w:val="17"/>
              </w:rPr>
              <w:t>c.16.6%</w:t>
            </w:r>
          </w:p>
        </w:tc>
      </w:tr>
      <w:tr>
        <w:tc>
          <w:tcPr>
            <w:tcW w:type="dxa" w:w="2608"/>
          </w:tcPr>
          <w:p>
            <w:r/>
            <w:r>
              <w:rPr>
                <w:sz w:val="17"/>
              </w:rPr>
              <w:t>Invested capital turnover</w:t>
            </w:r>
          </w:p>
        </w:tc>
        <w:tc>
          <w:tcPr>
            <w:tcW w:type="dxa" w:w="1077"/>
          </w:tcPr>
          <w:p>
            <w:r/>
            <w:r>
              <w:rPr>
                <w:sz w:val="17"/>
              </w:rPr>
              <w:t>0.48×</w:t>
            </w:r>
          </w:p>
        </w:tc>
        <w:tc>
          <w:tcPr>
            <w:tcW w:type="dxa" w:w="1077"/>
          </w:tcPr>
          <w:p>
            <w:r/>
            <w:r>
              <w:rPr>
                <w:sz w:val="17"/>
              </w:rPr>
              <w:t>0.69×</w:t>
            </w:r>
          </w:p>
        </w:tc>
        <w:tc>
          <w:tcPr>
            <w:tcW w:type="dxa" w:w="1077"/>
          </w:tcPr>
          <w:p>
            <w:r/>
            <w:r>
              <w:rPr>
                <w:sz w:val="17"/>
              </w:rPr>
              <w:t>0.74×</w:t>
            </w:r>
          </w:p>
        </w:tc>
        <w:tc>
          <w:tcPr>
            <w:tcW w:type="dxa" w:w="1077"/>
          </w:tcPr>
          <w:p>
            <w:r/>
            <w:r>
              <w:rPr>
                <w:sz w:val="17"/>
              </w:rPr>
              <w:t>0.94×</w:t>
            </w:r>
          </w:p>
        </w:tc>
        <w:tc>
          <w:tcPr>
            <w:tcW w:type="dxa" w:w="1077"/>
          </w:tcPr>
          <w:p>
            <w:r/>
            <w:r>
              <w:rPr>
                <w:sz w:val="17"/>
              </w:rPr>
              <w:t>0.94×</w:t>
            </w:r>
          </w:p>
        </w:tc>
        <w:tc>
          <w:tcPr>
            <w:tcW w:type="dxa" w:w="1134"/>
          </w:tcPr>
          <w:p>
            <w:r/>
            <w:r>
              <w:rPr>
                <w:sz w:val="17"/>
              </w:rPr>
              <w:t>1.06×</w:t>
            </w:r>
          </w:p>
        </w:tc>
      </w:tr>
      <w:tr>
        <w:tc>
          <w:tcPr>
            <w:tcW w:type="dxa" w:w="2608"/>
          </w:tcPr>
          <w:p>
            <w:r/>
            <w:r>
              <w:rPr>
                <w:sz w:val="17"/>
              </w:rPr>
              <w:t>Inventory (€m)</w:t>
            </w:r>
          </w:p>
        </w:tc>
        <w:tc>
          <w:tcPr>
            <w:tcW w:type="dxa" w:w="1077"/>
          </w:tcPr>
          <w:p>
            <w:r/>
            <w:r>
              <w:rPr>
                <w:sz w:val="17"/>
              </w:rPr>
              <w:t>n/a</w:t>
            </w:r>
          </w:p>
        </w:tc>
        <w:tc>
          <w:tcPr>
            <w:tcW w:type="dxa" w:w="1077"/>
          </w:tcPr>
          <w:p>
            <w:r/>
            <w:r>
              <w:rPr>
                <w:sz w:val="17"/>
              </w:rPr>
              <w:t>967</w:t>
            </w:r>
          </w:p>
        </w:tc>
        <w:tc>
          <w:tcPr>
            <w:tcW w:type="dxa" w:w="1077"/>
          </w:tcPr>
          <w:p>
            <w:r/>
            <w:r>
              <w:rPr>
                <w:sz w:val="17"/>
              </w:rPr>
              <w:t>943</w:t>
            </w:r>
          </w:p>
        </w:tc>
        <w:tc>
          <w:tcPr>
            <w:tcW w:type="dxa" w:w="1077"/>
          </w:tcPr>
          <w:p>
            <w:r/>
            <w:r>
              <w:rPr>
                <w:sz w:val="17"/>
              </w:rPr>
              <w:t>862</w:t>
            </w:r>
          </w:p>
        </w:tc>
        <w:tc>
          <w:tcPr>
            <w:tcW w:type="dxa" w:w="1077"/>
          </w:tcPr>
          <w:p>
            <w:r/>
            <w:r>
              <w:rPr>
                <w:sz w:val="17"/>
              </w:rPr>
              <w:t>1,115</w:t>
            </w:r>
          </w:p>
        </w:tc>
        <w:tc>
          <w:tcPr>
            <w:tcW w:type="dxa" w:w="1134"/>
          </w:tcPr>
          <w:p>
            <w:r/>
            <w:r>
              <w:rPr>
                <w:sz w:val="17"/>
              </w:rPr>
              <w:t>1,176</w:t>
            </w:r>
          </w:p>
        </w:tc>
      </w:tr>
      <w:tr>
        <w:tc>
          <w:tcPr>
            <w:tcW w:type="dxa" w:w="2608"/>
          </w:tcPr>
          <w:p>
            <w:r/>
            <w:r>
              <w:rPr>
                <w:sz w:val="17"/>
              </w:rPr>
              <w:t>DPS (cent, interim + final)</w:t>
            </w:r>
          </w:p>
        </w:tc>
        <w:tc>
          <w:tcPr>
            <w:tcW w:type="dxa" w:w="1077"/>
          </w:tcPr>
          <w:p>
            <w:r/>
            <w:r>
              <w:rPr>
                <w:sz w:val="17"/>
              </w:rPr>
              <w:t>n/a</w:t>
            </w:r>
          </w:p>
        </w:tc>
        <w:tc>
          <w:tcPr>
            <w:tcW w:type="dxa" w:w="1077"/>
          </w:tcPr>
          <w:p>
            <w:r/>
            <w:r>
              <w:rPr>
                <w:sz w:val="17"/>
              </w:rPr>
              <w:t>n/a</w:t>
            </w:r>
          </w:p>
        </w:tc>
        <w:tc>
          <w:tcPr>
            <w:tcW w:type="dxa" w:w="1077"/>
          </w:tcPr>
          <w:p>
            <w:r/>
            <w:r>
              <w:rPr>
                <w:sz w:val="17"/>
              </w:rPr>
              <w:t>6.3</w:t>
            </w:r>
          </w:p>
        </w:tc>
        <w:tc>
          <w:tcPr>
            <w:tcW w:type="dxa" w:w="1077"/>
          </w:tcPr>
          <w:p>
            <w:r/>
            <w:r>
              <w:rPr>
                <w:sz w:val="17"/>
              </w:rPr>
              <w:t>8.2</w:t>
            </w:r>
          </w:p>
        </w:tc>
        <w:tc>
          <w:tcPr>
            <w:tcW w:type="dxa" w:w="1077"/>
          </w:tcPr>
          <w:p>
            <w:r/>
            <w:r>
              <w:rPr>
                <w:sz w:val="17"/>
              </w:rPr>
              <w:t>10.0</w:t>
            </w:r>
          </w:p>
        </w:tc>
        <w:tc>
          <w:tcPr>
            <w:tcW w:type="dxa" w:w="1134"/>
          </w:tcPr>
          <w:p>
            <w:r/>
            <w:r>
              <w:rPr>
                <w:sz w:val="17"/>
              </w:rPr>
              <w:t>10.4 (trailing)</w:t>
            </w:r>
          </w:p>
        </w:tc>
      </w:tr>
    </w:tbl>
    <w:p/>
    <w:p>
      <w:r>
        <w:rPr>
          <w:b w:val="0"/>
          <w:i/>
          <w:sz w:val="16"/>
        </w:rPr>
        <w:t>*Revenue ÷ completions includes land sales and forward-fund revenue, so it differs from reported ASP (e.g. FY22 ASP €355k, FY23 €383k).</w:t>
      </w:r>
    </w:p>
    <w:p>
      <w:pPr>
        <w:pStyle w:val="Heading2"/>
      </w:pPr>
      <w:r>
        <w:t>Interpretation</w:t>
      </w:r>
    </w:p>
    <w:p>
      <w:pPr>
        <w:pStyle w:val="ListBullet"/>
      </w:pPr>
      <w:r>
        <w:t>ROIC and turnover are the headline. Turnover doubled from 0.48× to 1.06× and margin rose 4 pts, which lifted ROIC from below WACC to about 2× WACC. This is the hard number behind the Fisher #5/#6 positive and the RNOA read (Step 4). It is also why the 5-year ROIC average (11.2%) fails the Compounder screen while the trend passes. The business has only recently become a value creator, which is a different finding from a compounder that has been one for a decade.</w:t>
      </w:r>
    </w:p>
    <w:p>
      <w:pPr>
        <w:pStyle w:val="ListBullet"/>
      </w:pPr>
      <w:r>
        <w:t>Multiples tell a cyclical story, not a re-rating story. P/E has ranged 7.6×–13.1× around stable c.13–14% net margins. The current 10.4× is mid-range, and P/B at 1.90× is at its 5-year high. That matches Step 6: the price already credits the higher ROE but not its permanence.</w:t>
      </w:r>
    </w:p>
    <w:p>
      <w:pPr>
        <w:pStyle w:val="ListBullet"/>
      </w:pPr>
      <w:r>
        <w:t>FCF margin's FY25 dip to 7.2% (the WIP build) and TTM recovery to 18.7% is the cash-flow mirror of the FY25 accrual flag in Step 4. The flag was temporary. If the 'no material land investment' statement holds, FY26–27 FCF should run above net income, which would fund the €50m buyback and the progressive dividend.</w:t>
      </w:r>
    </w:p>
    <w:p>
      <w:pPr>
        <w:pStyle w:val="Heading1"/>
      </w:pPr>
      <w:r>
        <w:t>12. Final Verdict</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D9E2F3"/>
          </w:tcPr>
          <w:p>
            <w:r/>
            <w:r>
              <w:rPr>
                <w:b/>
                <w:sz w:val="15"/>
              </w:rPr>
              <w:t>TICKER</w:t>
            </w:r>
          </w:p>
        </w:tc>
        <w:tc>
          <w:tcPr>
            <w:tcW w:type="dxa" w:w="567"/>
            <w:shd w:val="clear" w:color="auto" w:fill="D9E2F3"/>
          </w:tcPr>
          <w:p>
            <w:r/>
            <w:r>
              <w:rPr>
                <w:b/>
                <w:sz w:val="15"/>
              </w:rPr>
              <w:t>Track</w:t>
            </w:r>
          </w:p>
        </w:tc>
        <w:tc>
          <w:tcPr>
            <w:tcW w:type="dxa" w:w="794"/>
            <w:shd w:val="clear" w:color="auto" w:fill="D9E2F3"/>
          </w:tcPr>
          <w:p>
            <w:r/>
            <w:r>
              <w:rPr>
                <w:b/>
                <w:sz w:val="15"/>
              </w:rPr>
              <w:t>Category</w:t>
            </w:r>
          </w:p>
        </w:tc>
        <w:tc>
          <w:tcPr>
            <w:tcW w:type="dxa" w:w="567"/>
            <w:shd w:val="clear" w:color="auto" w:fill="D9E2F3"/>
          </w:tcPr>
          <w:p>
            <w:r/>
            <w:r>
              <w:rPr>
                <w:b/>
                <w:sz w:val="15"/>
              </w:rPr>
              <w:t>F-Score</w:t>
            </w:r>
          </w:p>
        </w:tc>
        <w:tc>
          <w:tcPr>
            <w:tcW w:type="dxa" w:w="907"/>
            <w:shd w:val="clear" w:color="auto" w:fill="D9E2F3"/>
          </w:tcPr>
          <w:p>
            <w:r/>
            <w:r>
              <w:rPr>
                <w:b/>
                <w:sz w:val="15"/>
              </w:rPr>
              <w:t>F-Rating</w:t>
            </w:r>
          </w:p>
        </w:tc>
        <w:tc>
          <w:tcPr>
            <w:tcW w:type="dxa" w:w="1077"/>
            <w:shd w:val="clear" w:color="auto" w:fill="D9E2F3"/>
          </w:tcPr>
          <w:p>
            <w:r/>
            <w:r>
              <w:rPr>
                <w:b/>
                <w:sz w:val="15"/>
              </w:rPr>
              <w:t>DCF Bear-Base-Bull</w:t>
            </w:r>
          </w:p>
        </w:tc>
        <w:tc>
          <w:tcPr>
            <w:tcW w:type="dxa" w:w="624"/>
            <w:shd w:val="clear" w:color="auto" w:fill="D9E2F3"/>
          </w:tcPr>
          <w:p>
            <w:r/>
            <w:r>
              <w:rPr>
                <w:b/>
                <w:sz w:val="15"/>
              </w:rPr>
              <w:t>MoS Gate</w:t>
            </w:r>
          </w:p>
        </w:tc>
        <w:tc>
          <w:tcPr>
            <w:tcW w:type="dxa" w:w="794"/>
            <w:shd w:val="clear" w:color="auto" w:fill="D9E2F3"/>
          </w:tcPr>
          <w:p>
            <w:r/>
            <w:r>
              <w:rPr>
                <w:b/>
                <w:sz w:val="15"/>
              </w:rPr>
              <w:t>Compounder</w:t>
            </w:r>
          </w:p>
        </w:tc>
        <w:tc>
          <w:tcPr>
            <w:tcW w:type="dxa" w:w="737"/>
            <w:shd w:val="clear" w:color="auto" w:fill="D9E2F3"/>
          </w:tcPr>
          <w:p>
            <w:r/>
            <w:r>
              <w:rPr>
                <w:b/>
                <w:sz w:val="15"/>
              </w:rPr>
              <w:t>AI Impact</w:t>
            </w:r>
          </w:p>
        </w:tc>
        <w:tc>
          <w:tcPr>
            <w:tcW w:type="dxa" w:w="624"/>
            <w:shd w:val="clear" w:color="auto" w:fill="D9E2F3"/>
          </w:tcPr>
          <w:p>
            <w:r/>
            <w:r>
              <w:rPr>
                <w:b/>
                <w:sz w:val="15"/>
              </w:rPr>
              <w:t>Horizon</w:t>
            </w:r>
          </w:p>
        </w:tc>
        <w:tc>
          <w:tcPr>
            <w:tcW w:type="dxa" w:w="2041"/>
            <w:shd w:val="clear" w:color="auto" w:fill="D9E2F3"/>
          </w:tcPr>
          <w:p>
            <w:r/>
            <w:r>
              <w:rPr>
                <w:b/>
                <w:sz w:val="15"/>
              </w:rPr>
              <w:t>Thesis Invalidation</w:t>
            </w:r>
          </w:p>
        </w:tc>
      </w:tr>
      <w:tr>
        <w:tc>
          <w:tcPr>
            <w:tcW w:type="dxa" w:w="907"/>
          </w:tcPr>
          <w:p>
            <w:r/>
            <w:r>
              <w:rPr>
                <w:sz w:val="15"/>
              </w:rPr>
              <w:t>C5H.IR / CRN.L</w:t>
            </w:r>
          </w:p>
        </w:tc>
        <w:tc>
          <w:tcPr>
            <w:tcW w:type="dxa" w:w="567"/>
          </w:tcPr>
          <w:p>
            <w:r/>
            <w:r>
              <w:rPr>
                <w:sz w:val="15"/>
              </w:rPr>
              <w:t>A-CD</w:t>
            </w:r>
          </w:p>
        </w:tc>
        <w:tc>
          <w:tcPr>
            <w:tcW w:type="dxa" w:w="794"/>
          </w:tcPr>
          <w:p>
            <w:r/>
            <w:r>
              <w:rPr>
                <w:sz w:val="15"/>
              </w:rPr>
              <w:t>Cyclical</w:t>
            </w:r>
          </w:p>
        </w:tc>
        <w:tc>
          <w:tcPr>
            <w:tcW w:type="dxa" w:w="567"/>
          </w:tcPr>
          <w:p>
            <w:r/>
            <w:r>
              <w:rPr>
                <w:sz w:val="15"/>
              </w:rPr>
              <w:t>63</w:t>
            </w:r>
          </w:p>
        </w:tc>
        <w:tc>
          <w:tcPr>
            <w:tcW w:type="dxa" w:w="907"/>
          </w:tcPr>
          <w:p>
            <w:r/>
            <w:r>
              <w:rPr>
                <w:sz w:val="15"/>
              </w:rPr>
              <w:t>Undervalued (borderline)</w:t>
            </w:r>
          </w:p>
        </w:tc>
        <w:tc>
          <w:tcPr>
            <w:tcW w:type="dxa" w:w="1077"/>
          </w:tcPr>
          <w:p>
            <w:r/>
            <w:r>
              <w:rPr>
                <w:sz w:val="15"/>
              </w:rPr>
              <w:t>€2.21 / €3.62 / €4.77</w:t>
            </w:r>
          </w:p>
        </w:tc>
        <w:tc>
          <w:tcPr>
            <w:tcW w:type="dxa" w:w="624"/>
          </w:tcPr>
          <w:p>
            <w:r/>
            <w:r>
              <w:rPr>
                <w:sz w:val="15"/>
              </w:rPr>
              <w:t>BASE</w:t>
            </w:r>
          </w:p>
        </w:tc>
        <w:tc>
          <w:tcPr>
            <w:tcW w:type="dxa" w:w="794"/>
          </w:tcPr>
          <w:p>
            <w:r/>
            <w:r>
              <w:rPr>
                <w:sz w:val="15"/>
              </w:rPr>
              <w:t>QUALITY</w:t>
            </w:r>
          </w:p>
        </w:tc>
        <w:tc>
          <w:tcPr>
            <w:tcW w:type="dxa" w:w="737"/>
          </w:tcPr>
          <w:p>
            <w:r/>
            <w:r>
              <w:rPr>
                <w:sz w:val="15"/>
              </w:rPr>
              <w:t>NEUTRAL</w:t>
            </w:r>
          </w:p>
        </w:tc>
        <w:tc>
          <w:tcPr>
            <w:tcW w:type="dxa" w:w="624"/>
          </w:tcPr>
          <w:p>
            <w:r/>
            <w:r>
              <w:rPr>
                <w:sz w:val="15"/>
              </w:rPr>
              <w:t>3–5yr</w:t>
            </w:r>
          </w:p>
        </w:tc>
        <w:tc>
          <w:tcPr>
            <w:tcW w:type="dxa" w:w="2041"/>
          </w:tcPr>
          <w:p>
            <w:r/>
            <w:r>
              <w:rPr>
                <w:sz w:val="15"/>
              </w:rPr>
              <w:t>Full-year operating margin &lt; 14% or ROE guide &lt; 14%; private sales rate &lt; 2.5/site/week while Irish mortgage approvals fall; gearing &gt; 40% without WIP converting; HTB/First Home withdrawn without replacement</w:t>
            </w:r>
          </w:p>
        </w:tc>
      </w:tr>
    </w:tbl>
    <w:p/>
    <w:p>
      <w:r>
        <w:rPr>
          <w:b w:val="0"/>
          <w:i w:val="0"/>
          <w:sz w:val="18"/>
        </w:rPr>
        <w:t>F-Score build (Track A: Value 40 / Quality 40 / Growth 20): Value 55 (forward P/E 11× mid-range; P/B below justified; EV/EBITDA above peers; MoS BASE) | Quality 68 (ROE 18.5%, RNOA 16.6%, margin 18%, low gearing; FY25 accrual blip) | Growth 68 (+60% H1 revenue, +14% FY26e, +14% FY27e units) → 0.4×55 + 0.4×68 + 0.2×68 = 62.8 ≈ 63. That is just above the 62 'Undervalued' cut-off, so treat it as Fair-to-Undervalued.</w:t>
      </w:r>
    </w:p>
    <w:p>
      <w:r>
        <w:rPr>
          <w:b w:val="0"/>
          <w:i w:val="0"/>
        </w:rPr>
        <w:t>What has to be true: Ireland's structural shortage, state demand (AHB/LDA/cost-rental) and the first-time-buyer schemes have to keep Cairn's operating margin at or above c.15% and ROE at or above c.15% through the ECB tightening cycle. The volume ramp to 3,200 units must also convert into cash rather than more WIP. Under those conditions the stock is worth about €3.0–3.6, with a 3.9% gross yield plus a c.3% buyback on top. The market price (€2.64) already discounts a margin fade to c.11%, so the asymmetry is modestly positive. The single biggest risk is the rate cycle: with euro inflation at 3.8% and markets pricing further hikes, a move in Irish mortgage rates toward 5% would hit affordability right at the €500k scheme caps where Cairn concentrates. Budget 2027 (6 Oct) is the nearest event. A Help-to-Buy increase would add to demand, and a cut or sunset would be a direct hit. The single data point that would most change the verdict is FY26 operating cash flow: below c.€120m (versus c.€148m NI) would reinstate the accrual flag and cap the case. Above c.€180m would confirm the investment phase is over and the FCF inflection is real.</w:t>
      </w:r>
    </w:p>
    <w:p>
      <w:pPr>
        <w:pStyle w:val="Heading1"/>
      </w:pPr>
      <w:r>
        <w:t>13. Investment Checklist Scorecard (86 checks)</w:t>
      </w:r>
    </w:p>
    <w:p>
      <w:pPr>
        <w:pStyle w:val="Heading2"/>
      </w:pPr>
      <w:r>
        <w:t>Summary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3402"/>
            <w:shd w:val="clear" w:color="auto" w:fill="D9E2F3"/>
          </w:tcPr>
          <w:p>
            <w:r/>
            <w:r>
              <w:rPr>
                <w:b/>
                <w:sz w:val="17"/>
              </w:rPr>
              <w:t>Categoria</w:t>
            </w:r>
          </w:p>
        </w:tc>
        <w:tc>
          <w:tcPr>
            <w:tcW w:type="dxa" w:w="850"/>
            <w:shd w:val="clear" w:color="auto" w:fill="D9E2F3"/>
          </w:tcPr>
          <w:p>
            <w:r/>
            <w:r>
              <w:rPr>
                <w:b/>
                <w:sz w:val="17"/>
              </w:rPr>
              <w:t>✓</w:t>
            </w:r>
          </w:p>
        </w:tc>
        <w:tc>
          <w:tcPr>
            <w:tcW w:type="dxa" w:w="850"/>
            <w:shd w:val="clear" w:color="auto" w:fill="D9E2F3"/>
          </w:tcPr>
          <w:p>
            <w:r/>
            <w:r>
              <w:rPr>
                <w:b/>
                <w:sz w:val="17"/>
              </w:rPr>
              <w:t>✗</w:t>
            </w:r>
          </w:p>
        </w:tc>
        <w:tc>
          <w:tcPr>
            <w:tcW w:type="dxa" w:w="850"/>
            <w:shd w:val="clear" w:color="auto" w:fill="D9E2F3"/>
          </w:tcPr>
          <w:p>
            <w:r/>
            <w:r>
              <w:rPr>
                <w:b/>
                <w:sz w:val="17"/>
              </w:rPr>
              <w:t>?</w:t>
            </w:r>
          </w:p>
        </w:tc>
        <w:tc>
          <w:tcPr>
            <w:tcW w:type="dxa" w:w="850"/>
            <w:shd w:val="clear" w:color="auto" w:fill="D9E2F3"/>
          </w:tcPr>
          <w:p>
            <w:r/>
            <w:r>
              <w:rPr>
                <w:b/>
                <w:sz w:val="17"/>
              </w:rPr>
              <w:t>N/A</w:t>
            </w:r>
          </w:p>
        </w:tc>
        <w:tc>
          <w:tcPr>
            <w:tcW w:type="dxa" w:w="1134"/>
            <w:shd w:val="clear" w:color="auto" w:fill="D9E2F3"/>
          </w:tcPr>
          <w:p>
            <w:r/>
            <w:r>
              <w:rPr>
                <w:b/>
                <w:sz w:val="17"/>
              </w:rPr>
              <w:t>Score</w:t>
            </w:r>
          </w:p>
        </w:tc>
      </w:tr>
      <w:tr>
        <w:tc>
          <w:tcPr>
            <w:tcW w:type="dxa" w:w="3402"/>
          </w:tcPr>
          <w:p>
            <w:r/>
            <w:r>
              <w:rPr>
                <w:sz w:val="17"/>
              </w:rPr>
              <w:t>Pre-investimento</w:t>
            </w:r>
          </w:p>
        </w:tc>
        <w:tc>
          <w:tcPr>
            <w:tcW w:type="dxa" w:w="850"/>
          </w:tcPr>
          <w:p>
            <w:r/>
            <w:r>
              <w:rPr>
                <w:sz w:val="17"/>
              </w:rPr>
              <w:t>7</w:t>
            </w:r>
          </w:p>
        </w:tc>
        <w:tc>
          <w:tcPr>
            <w:tcW w:type="dxa" w:w="850"/>
          </w:tcPr>
          <w:p>
            <w:r/>
            <w:r>
              <w:rPr>
                <w:sz w:val="17"/>
              </w:rPr>
              <w:t>1</w:t>
            </w:r>
          </w:p>
        </w:tc>
        <w:tc>
          <w:tcPr>
            <w:tcW w:type="dxa" w:w="850"/>
          </w:tcPr>
          <w:p>
            <w:r/>
            <w:r>
              <w:rPr>
                <w:sz w:val="17"/>
              </w:rPr>
              <w:t>2</w:t>
            </w:r>
          </w:p>
        </w:tc>
        <w:tc>
          <w:tcPr>
            <w:tcW w:type="dxa" w:w="850"/>
          </w:tcPr>
          <w:p>
            <w:r/>
            <w:r>
              <w:rPr>
                <w:sz w:val="17"/>
              </w:rPr>
              <w:t>0</w:t>
            </w:r>
          </w:p>
        </w:tc>
        <w:tc>
          <w:tcPr>
            <w:tcW w:type="dxa" w:w="1134"/>
          </w:tcPr>
          <w:p>
            <w:r/>
            <w:r>
              <w:rPr>
                <w:sz w:val="17"/>
              </w:rPr>
              <w:t>7/10</w:t>
            </w:r>
          </w:p>
        </w:tc>
      </w:tr>
      <w:tr>
        <w:tc>
          <w:tcPr>
            <w:tcW w:type="dxa" w:w="3402"/>
          </w:tcPr>
          <w:p>
            <w:r/>
            <w:r>
              <w:rPr>
                <w:sz w:val="17"/>
              </w:rPr>
              <w:t>Business Model ed Economics</w:t>
            </w:r>
          </w:p>
        </w:tc>
        <w:tc>
          <w:tcPr>
            <w:tcW w:type="dxa" w:w="850"/>
          </w:tcPr>
          <w:p>
            <w:r/>
            <w:r>
              <w:rPr>
                <w:sz w:val="17"/>
              </w:rPr>
              <w:t>7</w:t>
            </w:r>
          </w:p>
        </w:tc>
        <w:tc>
          <w:tcPr>
            <w:tcW w:type="dxa" w:w="850"/>
          </w:tcPr>
          <w:p>
            <w:r/>
            <w:r>
              <w:rPr>
                <w:sz w:val="17"/>
              </w:rPr>
              <w:t>0</w:t>
            </w:r>
          </w:p>
        </w:tc>
        <w:tc>
          <w:tcPr>
            <w:tcW w:type="dxa" w:w="850"/>
          </w:tcPr>
          <w:p>
            <w:r/>
            <w:r>
              <w:rPr>
                <w:sz w:val="17"/>
              </w:rPr>
              <w:t>0</w:t>
            </w:r>
          </w:p>
        </w:tc>
        <w:tc>
          <w:tcPr>
            <w:tcW w:type="dxa" w:w="850"/>
          </w:tcPr>
          <w:p>
            <w:r/>
            <w:r>
              <w:rPr>
                <w:sz w:val="17"/>
              </w:rPr>
              <w:t>0</w:t>
            </w:r>
          </w:p>
        </w:tc>
        <w:tc>
          <w:tcPr>
            <w:tcW w:type="dxa" w:w="1134"/>
          </w:tcPr>
          <w:p>
            <w:r/>
            <w:r>
              <w:rPr>
                <w:sz w:val="17"/>
              </w:rPr>
              <w:t>7/7</w:t>
            </w:r>
          </w:p>
        </w:tc>
      </w:tr>
      <w:tr>
        <w:tc>
          <w:tcPr>
            <w:tcW w:type="dxa" w:w="3402"/>
          </w:tcPr>
          <w:p>
            <w:r/>
            <w:r>
              <w:rPr>
                <w:sz w:val="17"/>
              </w:rPr>
              <w:t>Unit Economics e KPI</w:t>
            </w:r>
          </w:p>
        </w:tc>
        <w:tc>
          <w:tcPr>
            <w:tcW w:type="dxa" w:w="850"/>
          </w:tcPr>
          <w:p>
            <w:r/>
            <w:r>
              <w:rPr>
                <w:sz w:val="17"/>
              </w:rPr>
              <w:t>6</w:t>
            </w:r>
          </w:p>
        </w:tc>
        <w:tc>
          <w:tcPr>
            <w:tcW w:type="dxa" w:w="850"/>
          </w:tcPr>
          <w:p>
            <w:r/>
            <w:r>
              <w:rPr>
                <w:sz w:val="17"/>
              </w:rPr>
              <w:t>0</w:t>
            </w:r>
          </w:p>
        </w:tc>
        <w:tc>
          <w:tcPr>
            <w:tcW w:type="dxa" w:w="850"/>
          </w:tcPr>
          <w:p>
            <w:r/>
            <w:r>
              <w:rPr>
                <w:sz w:val="17"/>
              </w:rPr>
              <w:t>1</w:t>
            </w:r>
          </w:p>
        </w:tc>
        <w:tc>
          <w:tcPr>
            <w:tcW w:type="dxa" w:w="850"/>
          </w:tcPr>
          <w:p>
            <w:r/>
            <w:r>
              <w:rPr>
                <w:sz w:val="17"/>
              </w:rPr>
              <w:t>0</w:t>
            </w:r>
          </w:p>
        </w:tc>
        <w:tc>
          <w:tcPr>
            <w:tcW w:type="dxa" w:w="1134"/>
          </w:tcPr>
          <w:p>
            <w:r/>
            <w:r>
              <w:rPr>
                <w:sz w:val="17"/>
              </w:rPr>
              <w:t>6/7</w:t>
            </w:r>
          </w:p>
        </w:tc>
      </w:tr>
      <w:tr>
        <w:tc>
          <w:tcPr>
            <w:tcW w:type="dxa" w:w="3402"/>
          </w:tcPr>
          <w:p>
            <w:r/>
            <w:r>
              <w:rPr>
                <w:sz w:val="17"/>
              </w:rPr>
              <w:t>Strategia e Risorse</w:t>
            </w:r>
          </w:p>
        </w:tc>
        <w:tc>
          <w:tcPr>
            <w:tcW w:type="dxa" w:w="850"/>
          </w:tcPr>
          <w:p>
            <w:r/>
            <w:r>
              <w:rPr>
                <w:sz w:val="17"/>
              </w:rPr>
              <w:t>8</w:t>
            </w:r>
          </w:p>
        </w:tc>
        <w:tc>
          <w:tcPr>
            <w:tcW w:type="dxa" w:w="850"/>
          </w:tcPr>
          <w:p>
            <w:r/>
            <w:r>
              <w:rPr>
                <w:sz w:val="17"/>
              </w:rPr>
              <w:t>1</w:t>
            </w:r>
          </w:p>
        </w:tc>
        <w:tc>
          <w:tcPr>
            <w:tcW w:type="dxa" w:w="850"/>
          </w:tcPr>
          <w:p>
            <w:r/>
            <w:r>
              <w:rPr>
                <w:sz w:val="17"/>
              </w:rPr>
              <w:t>1</w:t>
            </w:r>
          </w:p>
        </w:tc>
        <w:tc>
          <w:tcPr>
            <w:tcW w:type="dxa" w:w="850"/>
          </w:tcPr>
          <w:p>
            <w:r/>
            <w:r>
              <w:rPr>
                <w:sz w:val="17"/>
              </w:rPr>
              <w:t>0</w:t>
            </w:r>
          </w:p>
        </w:tc>
        <w:tc>
          <w:tcPr>
            <w:tcW w:type="dxa" w:w="1134"/>
          </w:tcPr>
          <w:p>
            <w:r/>
            <w:r>
              <w:rPr>
                <w:sz w:val="17"/>
              </w:rPr>
              <w:t>8/10</w:t>
            </w:r>
          </w:p>
        </w:tc>
      </w:tr>
      <w:tr>
        <w:tc>
          <w:tcPr>
            <w:tcW w:type="dxa" w:w="3402"/>
          </w:tcPr>
          <w:p>
            <w:r/>
            <w:r>
              <w:rPr>
                <w:sz w:val="17"/>
              </w:rPr>
              <w:t>Power Dynamics</w:t>
            </w:r>
          </w:p>
        </w:tc>
        <w:tc>
          <w:tcPr>
            <w:tcW w:type="dxa" w:w="850"/>
          </w:tcPr>
          <w:p>
            <w:r/>
            <w:r>
              <w:rPr>
                <w:sz w:val="17"/>
              </w:rPr>
              <w:t>6</w:t>
            </w:r>
          </w:p>
        </w:tc>
        <w:tc>
          <w:tcPr>
            <w:tcW w:type="dxa" w:w="850"/>
          </w:tcPr>
          <w:p>
            <w:r/>
            <w:r>
              <w:rPr>
                <w:sz w:val="17"/>
              </w:rPr>
              <w:t>1</w:t>
            </w:r>
          </w:p>
        </w:tc>
        <w:tc>
          <w:tcPr>
            <w:tcW w:type="dxa" w:w="850"/>
          </w:tcPr>
          <w:p>
            <w:r/>
            <w:r>
              <w:rPr>
                <w:sz w:val="17"/>
              </w:rPr>
              <w:t>1</w:t>
            </w:r>
          </w:p>
        </w:tc>
        <w:tc>
          <w:tcPr>
            <w:tcW w:type="dxa" w:w="850"/>
          </w:tcPr>
          <w:p>
            <w:r/>
            <w:r>
              <w:rPr>
                <w:sz w:val="17"/>
              </w:rPr>
              <w:t>1</w:t>
            </w:r>
          </w:p>
        </w:tc>
        <w:tc>
          <w:tcPr>
            <w:tcW w:type="dxa" w:w="1134"/>
          </w:tcPr>
          <w:p>
            <w:r/>
            <w:r>
              <w:rPr>
                <w:sz w:val="17"/>
              </w:rPr>
              <w:t>6/9</w:t>
            </w:r>
          </w:p>
        </w:tc>
      </w:tr>
      <w:tr>
        <w:tc>
          <w:tcPr>
            <w:tcW w:type="dxa" w:w="3402"/>
          </w:tcPr>
          <w:p>
            <w:r/>
            <w:r>
              <w:rPr>
                <w:sz w:val="17"/>
              </w:rPr>
              <w:t>Check dei Poteri</w:t>
            </w:r>
          </w:p>
        </w:tc>
        <w:tc>
          <w:tcPr>
            <w:tcW w:type="dxa" w:w="850"/>
          </w:tcPr>
          <w:p>
            <w:r/>
            <w:r>
              <w:rPr>
                <w:sz w:val="17"/>
              </w:rPr>
              <w:t>1</w:t>
            </w:r>
          </w:p>
        </w:tc>
        <w:tc>
          <w:tcPr>
            <w:tcW w:type="dxa" w:w="850"/>
          </w:tcPr>
          <w:p>
            <w:r/>
            <w:r>
              <w:rPr>
                <w:sz w:val="17"/>
              </w:rPr>
              <w:t>6</w:t>
            </w:r>
          </w:p>
        </w:tc>
        <w:tc>
          <w:tcPr>
            <w:tcW w:type="dxa" w:w="850"/>
          </w:tcPr>
          <w:p>
            <w:r/>
            <w:r>
              <w:rPr>
                <w:sz w:val="17"/>
              </w:rPr>
              <w:t>0</w:t>
            </w:r>
          </w:p>
        </w:tc>
        <w:tc>
          <w:tcPr>
            <w:tcW w:type="dxa" w:w="850"/>
          </w:tcPr>
          <w:p>
            <w:r/>
            <w:r>
              <w:rPr>
                <w:sz w:val="17"/>
              </w:rPr>
              <w:t>0</w:t>
            </w:r>
          </w:p>
        </w:tc>
        <w:tc>
          <w:tcPr>
            <w:tcW w:type="dxa" w:w="1134"/>
          </w:tcPr>
          <w:p>
            <w:r/>
            <w:r>
              <w:rPr>
                <w:sz w:val="17"/>
              </w:rPr>
              <w:t>1/7</w:t>
            </w:r>
          </w:p>
        </w:tc>
      </w:tr>
      <w:tr>
        <w:tc>
          <w:tcPr>
            <w:tcW w:type="dxa" w:w="3402"/>
          </w:tcPr>
          <w:p>
            <w:r/>
            <w:r>
              <w:rPr>
                <w:sz w:val="17"/>
              </w:rPr>
              <w:t>Valutazione</w:t>
            </w:r>
          </w:p>
        </w:tc>
        <w:tc>
          <w:tcPr>
            <w:tcW w:type="dxa" w:w="850"/>
          </w:tcPr>
          <w:p>
            <w:r/>
            <w:r>
              <w:rPr>
                <w:sz w:val="17"/>
              </w:rPr>
              <w:t>11</w:t>
            </w:r>
          </w:p>
        </w:tc>
        <w:tc>
          <w:tcPr>
            <w:tcW w:type="dxa" w:w="850"/>
          </w:tcPr>
          <w:p>
            <w:r/>
            <w:r>
              <w:rPr>
                <w:sz w:val="17"/>
              </w:rPr>
              <w:t>0</w:t>
            </w:r>
          </w:p>
        </w:tc>
        <w:tc>
          <w:tcPr>
            <w:tcW w:type="dxa" w:w="850"/>
          </w:tcPr>
          <w:p>
            <w:r/>
            <w:r>
              <w:rPr>
                <w:sz w:val="17"/>
              </w:rPr>
              <w:t>0</w:t>
            </w:r>
          </w:p>
        </w:tc>
        <w:tc>
          <w:tcPr>
            <w:tcW w:type="dxa" w:w="850"/>
          </w:tcPr>
          <w:p>
            <w:r/>
            <w:r>
              <w:rPr>
                <w:sz w:val="17"/>
              </w:rPr>
              <w:t>0</w:t>
            </w:r>
          </w:p>
        </w:tc>
        <w:tc>
          <w:tcPr>
            <w:tcW w:type="dxa" w:w="1134"/>
          </w:tcPr>
          <w:p>
            <w:r/>
            <w:r>
              <w:rPr>
                <w:sz w:val="17"/>
              </w:rPr>
              <w:t>11/11</w:t>
            </w:r>
          </w:p>
        </w:tc>
      </w:tr>
      <w:tr>
        <w:tc>
          <w:tcPr>
            <w:tcW w:type="dxa" w:w="3402"/>
          </w:tcPr>
          <w:p>
            <w:r/>
            <w:r>
              <w:rPr>
                <w:sz w:val="17"/>
              </w:rPr>
              <w:t>Opzionalità</w:t>
            </w:r>
          </w:p>
        </w:tc>
        <w:tc>
          <w:tcPr>
            <w:tcW w:type="dxa" w:w="850"/>
          </w:tcPr>
          <w:p>
            <w:r/>
            <w:r>
              <w:rPr>
                <w:sz w:val="17"/>
              </w:rPr>
              <w:t>3</w:t>
            </w:r>
          </w:p>
        </w:tc>
        <w:tc>
          <w:tcPr>
            <w:tcW w:type="dxa" w:w="850"/>
          </w:tcPr>
          <w:p>
            <w:r/>
            <w:r>
              <w:rPr>
                <w:sz w:val="17"/>
              </w:rPr>
              <w:t>1</w:t>
            </w:r>
          </w:p>
        </w:tc>
        <w:tc>
          <w:tcPr>
            <w:tcW w:type="dxa" w:w="850"/>
          </w:tcPr>
          <w:p>
            <w:r/>
            <w:r>
              <w:rPr>
                <w:sz w:val="17"/>
              </w:rPr>
              <w:t>1</w:t>
            </w:r>
          </w:p>
        </w:tc>
        <w:tc>
          <w:tcPr>
            <w:tcW w:type="dxa" w:w="850"/>
          </w:tcPr>
          <w:p>
            <w:r/>
            <w:r>
              <w:rPr>
                <w:sz w:val="17"/>
              </w:rPr>
              <w:t>0</w:t>
            </w:r>
          </w:p>
        </w:tc>
        <w:tc>
          <w:tcPr>
            <w:tcW w:type="dxa" w:w="1134"/>
          </w:tcPr>
          <w:p>
            <w:r/>
            <w:r>
              <w:rPr>
                <w:sz w:val="17"/>
              </w:rPr>
              <w:t>3/5</w:t>
            </w:r>
          </w:p>
        </w:tc>
      </w:tr>
      <w:tr>
        <w:tc>
          <w:tcPr>
            <w:tcW w:type="dxa" w:w="3402"/>
          </w:tcPr>
          <w:p>
            <w:r/>
            <w:r>
              <w:rPr>
                <w:sz w:val="17"/>
              </w:rPr>
              <w:t>Management e Governance</w:t>
            </w:r>
          </w:p>
        </w:tc>
        <w:tc>
          <w:tcPr>
            <w:tcW w:type="dxa" w:w="850"/>
          </w:tcPr>
          <w:p>
            <w:r/>
            <w:r>
              <w:rPr>
                <w:sz w:val="17"/>
              </w:rPr>
              <w:t>5</w:t>
            </w:r>
          </w:p>
        </w:tc>
        <w:tc>
          <w:tcPr>
            <w:tcW w:type="dxa" w:w="850"/>
          </w:tcPr>
          <w:p>
            <w:r/>
            <w:r>
              <w:rPr>
                <w:sz w:val="17"/>
              </w:rPr>
              <w:t>1</w:t>
            </w:r>
          </w:p>
        </w:tc>
        <w:tc>
          <w:tcPr>
            <w:tcW w:type="dxa" w:w="850"/>
          </w:tcPr>
          <w:p>
            <w:r/>
            <w:r>
              <w:rPr>
                <w:sz w:val="17"/>
              </w:rPr>
              <w:t>5</w:t>
            </w:r>
          </w:p>
        </w:tc>
        <w:tc>
          <w:tcPr>
            <w:tcW w:type="dxa" w:w="850"/>
          </w:tcPr>
          <w:p>
            <w:r/>
            <w:r>
              <w:rPr>
                <w:sz w:val="17"/>
              </w:rPr>
              <w:t>0</w:t>
            </w:r>
          </w:p>
        </w:tc>
        <w:tc>
          <w:tcPr>
            <w:tcW w:type="dxa" w:w="1134"/>
          </w:tcPr>
          <w:p>
            <w:r/>
            <w:r>
              <w:rPr>
                <w:sz w:val="17"/>
              </w:rPr>
              <w:t>5/11</w:t>
            </w:r>
          </w:p>
        </w:tc>
      </w:tr>
      <w:tr>
        <w:tc>
          <w:tcPr>
            <w:tcW w:type="dxa" w:w="3402"/>
          </w:tcPr>
          <w:p>
            <w:r/>
            <w:r>
              <w:rPr>
                <w:sz w:val="17"/>
              </w:rPr>
              <w:t>Rischi</w:t>
            </w:r>
          </w:p>
        </w:tc>
        <w:tc>
          <w:tcPr>
            <w:tcW w:type="dxa" w:w="850"/>
          </w:tcPr>
          <w:p>
            <w:r/>
            <w:r>
              <w:rPr>
                <w:sz w:val="17"/>
              </w:rPr>
              <w:t>6</w:t>
            </w:r>
          </w:p>
        </w:tc>
        <w:tc>
          <w:tcPr>
            <w:tcW w:type="dxa" w:w="850"/>
          </w:tcPr>
          <w:p>
            <w:r/>
            <w:r>
              <w:rPr>
                <w:sz w:val="17"/>
              </w:rPr>
              <w:t>1</w:t>
            </w:r>
          </w:p>
        </w:tc>
        <w:tc>
          <w:tcPr>
            <w:tcW w:type="dxa" w:w="850"/>
          </w:tcPr>
          <w:p>
            <w:r/>
            <w:r>
              <w:rPr>
                <w:sz w:val="17"/>
              </w:rPr>
              <w:t>0</w:t>
            </w:r>
          </w:p>
        </w:tc>
        <w:tc>
          <w:tcPr>
            <w:tcW w:type="dxa" w:w="850"/>
          </w:tcPr>
          <w:p>
            <w:r/>
            <w:r>
              <w:rPr>
                <w:sz w:val="17"/>
              </w:rPr>
              <w:t>2</w:t>
            </w:r>
          </w:p>
        </w:tc>
        <w:tc>
          <w:tcPr>
            <w:tcW w:type="dxa" w:w="1134"/>
          </w:tcPr>
          <w:p>
            <w:r/>
            <w:r>
              <w:rPr>
                <w:sz w:val="17"/>
              </w:rPr>
              <w:t>6/9</w:t>
            </w:r>
          </w:p>
        </w:tc>
      </w:tr>
      <w:tr>
        <w:tc>
          <w:tcPr>
            <w:tcW w:type="dxa" w:w="3402"/>
          </w:tcPr>
          <w:p>
            <w:r>
              <w:rPr>
                <w:b/>
              </w:rPr>
            </w:r>
            <w:r>
              <w:rPr>
                <w:b/>
                <w:sz w:val="17"/>
              </w:rPr>
              <w:t>Totale</w:t>
            </w:r>
          </w:p>
        </w:tc>
        <w:tc>
          <w:tcPr>
            <w:tcW w:type="dxa" w:w="850"/>
          </w:tcPr>
          <w:p>
            <w:r>
              <w:rPr>
                <w:b/>
              </w:rPr>
            </w:r>
            <w:r>
              <w:rPr>
                <w:b/>
                <w:sz w:val="17"/>
              </w:rPr>
              <w:t>60</w:t>
            </w:r>
          </w:p>
        </w:tc>
        <w:tc>
          <w:tcPr>
            <w:tcW w:type="dxa" w:w="850"/>
          </w:tcPr>
          <w:p>
            <w:r>
              <w:rPr>
                <w:b/>
              </w:rPr>
            </w:r>
            <w:r>
              <w:rPr>
                <w:b/>
                <w:sz w:val="17"/>
              </w:rPr>
              <w:t>12</w:t>
            </w:r>
          </w:p>
        </w:tc>
        <w:tc>
          <w:tcPr>
            <w:tcW w:type="dxa" w:w="850"/>
          </w:tcPr>
          <w:p>
            <w:r>
              <w:rPr>
                <w:b/>
              </w:rPr>
            </w:r>
            <w:r>
              <w:rPr>
                <w:b/>
                <w:sz w:val="17"/>
              </w:rPr>
              <w:t>11</w:t>
            </w:r>
          </w:p>
        </w:tc>
        <w:tc>
          <w:tcPr>
            <w:tcW w:type="dxa" w:w="850"/>
          </w:tcPr>
          <w:p>
            <w:r>
              <w:rPr>
                <w:b/>
              </w:rPr>
            </w:r>
            <w:r>
              <w:rPr>
                <w:b/>
                <w:sz w:val="17"/>
              </w:rPr>
              <w:t>3</w:t>
            </w:r>
          </w:p>
        </w:tc>
        <w:tc>
          <w:tcPr>
            <w:tcW w:type="dxa" w:w="1134"/>
          </w:tcPr>
          <w:p>
            <w:r>
              <w:rPr>
                <w:b/>
              </w:rPr>
            </w:r>
            <w:r>
              <w:rPr>
                <w:b/>
                <w:sz w:val="17"/>
              </w:rPr>
              <w:t>60/86</w:t>
            </w:r>
          </w:p>
        </w:tc>
      </w:tr>
    </w:tbl>
    <w:p/>
    <w:p>
      <w:r>
        <w:rPr>
          <w:b w:val="0"/>
          <w:i w:val="0"/>
        </w:rPr>
        <w:t>Coverage = (✓ + ✗) / (86 − N/A) = (60 + 12) / 83 = 87%. Most gaps are qualitative management and culture items (MGT-1/5/6/7/10), not financial ones. The score reflects the evidence on the company, not missing information.</w:t>
      </w:r>
    </w:p>
    <w:p>
      <w:pPr>
        <w:pStyle w:val="Heading2"/>
      </w:pPr>
      <w:r>
        <w:t>Pre-investimento (10)</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PRE-1</w:t>
            </w:r>
          </w:p>
        </w:tc>
        <w:tc>
          <w:tcPr>
            <w:tcW w:type="dxa" w:w="2608"/>
          </w:tcPr>
          <w:p>
            <w:r/>
            <w:r>
              <w:rPr>
                <w:sz w:val="17"/>
              </w:rPr>
              <w:t>Ricerca sufficiente</w:t>
            </w:r>
          </w:p>
        </w:tc>
        <w:tc>
          <w:tcPr>
            <w:tcW w:type="dxa" w:w="680"/>
          </w:tcPr>
          <w:p>
            <w:r/>
            <w:r>
              <w:rPr>
                <w:sz w:val="17"/>
              </w:rPr>
              <w:t>✓</w:t>
            </w:r>
          </w:p>
        </w:tc>
        <w:tc>
          <w:tcPr>
            <w:tcW w:type="dxa" w:w="5556"/>
          </w:tcPr>
          <w:p>
            <w:r/>
            <w:r>
              <w:rPr>
                <w:sz w:val="17"/>
              </w:rPr>
              <w:t>H1-26 results + call, FY25 prelims, FY21/23 results, LTIP docs, macro (Step 0)</w:t>
            </w:r>
          </w:p>
        </w:tc>
      </w:tr>
      <w:tr>
        <w:tc>
          <w:tcPr>
            <w:tcW w:type="dxa" w:w="794"/>
          </w:tcPr>
          <w:p>
            <w:r/>
            <w:r>
              <w:rPr>
                <w:sz w:val="17"/>
              </w:rPr>
              <w:t>PRE-2</w:t>
            </w:r>
          </w:p>
        </w:tc>
        <w:tc>
          <w:tcPr>
            <w:tcW w:type="dxa" w:w="2608"/>
          </w:tcPr>
          <w:p>
            <w:r/>
            <w:r>
              <w:rPr>
                <w:sz w:val="17"/>
              </w:rPr>
              <w:t>Bear case e pre-mortem</w:t>
            </w:r>
          </w:p>
        </w:tc>
        <w:tc>
          <w:tcPr>
            <w:tcW w:type="dxa" w:w="680"/>
          </w:tcPr>
          <w:p>
            <w:r/>
            <w:r>
              <w:rPr>
                <w:sz w:val="17"/>
              </w:rPr>
              <w:t>✓</w:t>
            </w:r>
          </w:p>
        </w:tc>
        <w:tc>
          <w:tcPr>
            <w:tcW w:type="dxa" w:w="5556"/>
          </w:tcPr>
          <w:p>
            <w:r/>
            <w:r>
              <w:rPr>
                <w:sz w:val="17"/>
              </w:rPr>
              <w:t>Rates/ECB, policy dependence, cycle stress €2.53, land write-downs (Steps 5, 12)</w:t>
            </w:r>
          </w:p>
        </w:tc>
      </w:tr>
      <w:tr>
        <w:tc>
          <w:tcPr>
            <w:tcW w:type="dxa" w:w="794"/>
          </w:tcPr>
          <w:p>
            <w:r/>
            <w:r>
              <w:rPr>
                <w:sz w:val="17"/>
              </w:rPr>
              <w:t>PRE-3</w:t>
            </w:r>
          </w:p>
        </w:tc>
        <w:tc>
          <w:tcPr>
            <w:tcW w:type="dxa" w:w="2608"/>
          </w:tcPr>
          <w:p>
            <w:r/>
            <w:r>
              <w:rPr>
                <w:sz w:val="17"/>
              </w:rPr>
              <w:t>Key driver azienda/titolo</w:t>
            </w:r>
          </w:p>
        </w:tc>
        <w:tc>
          <w:tcPr>
            <w:tcW w:type="dxa" w:w="680"/>
          </w:tcPr>
          <w:p>
            <w:r/>
            <w:r>
              <w:rPr>
                <w:sz w:val="17"/>
              </w:rPr>
              <w:t>✓</w:t>
            </w:r>
          </w:p>
        </w:tc>
        <w:tc>
          <w:tcPr>
            <w:tcW w:type="dxa" w:w="5556"/>
          </w:tcPr>
          <w:p>
            <w:r/>
            <w:r>
              <w:rPr>
                <w:sz w:val="17"/>
              </w:rPr>
              <w:t>Completions, margin, IC turnover, state/FTB demand, rates (Steps 5–6)</w:t>
            </w:r>
          </w:p>
        </w:tc>
      </w:tr>
      <w:tr>
        <w:tc>
          <w:tcPr>
            <w:tcW w:type="dxa" w:w="794"/>
          </w:tcPr>
          <w:p>
            <w:r/>
            <w:r>
              <w:rPr>
                <w:sz w:val="17"/>
              </w:rPr>
              <w:t>PRE-4</w:t>
            </w:r>
          </w:p>
        </w:tc>
        <w:tc>
          <w:tcPr>
            <w:tcW w:type="dxa" w:w="2608"/>
          </w:tcPr>
          <w:p>
            <w:r/>
            <w:r>
              <w:rPr>
                <w:sz w:val="17"/>
              </w:rPr>
              <w:t>Opinione differenziata</w:t>
            </w:r>
          </w:p>
        </w:tc>
        <w:tc>
          <w:tcPr>
            <w:tcW w:type="dxa" w:w="680"/>
          </w:tcPr>
          <w:p>
            <w:r/>
            <w:r>
              <w:rPr>
                <w:sz w:val="17"/>
              </w:rPr>
              <w:t>✗</w:t>
            </w:r>
          </w:p>
        </w:tc>
        <w:tc>
          <w:tcPr>
            <w:tcW w:type="dxa" w:w="5556"/>
          </w:tcPr>
          <w:p>
            <w:r/>
            <w:r>
              <w:rPr>
                <w:sz w:val="17"/>
              </w:rPr>
              <w:t>View close to consensus (mean target €3.09, 'strong buy'); no informational edge identified</w:t>
            </w:r>
          </w:p>
        </w:tc>
      </w:tr>
      <w:tr>
        <w:tc>
          <w:tcPr>
            <w:tcW w:type="dxa" w:w="794"/>
          </w:tcPr>
          <w:p>
            <w:r/>
            <w:r>
              <w:rPr>
                <w:sz w:val="17"/>
              </w:rPr>
              <w:t>PRE-5</w:t>
            </w:r>
          </w:p>
        </w:tc>
        <w:tc>
          <w:tcPr>
            <w:tcW w:type="dxa" w:w="2608"/>
          </w:tcPr>
          <w:p>
            <w:r/>
            <w:r>
              <w:rPr>
                <w:sz w:val="17"/>
              </w:rPr>
              <w:t>Risk-reward favorevole</w:t>
            </w:r>
          </w:p>
        </w:tc>
        <w:tc>
          <w:tcPr>
            <w:tcW w:type="dxa" w:w="680"/>
          </w:tcPr>
          <w:p>
            <w:r/>
            <w:r>
              <w:rPr>
                <w:sz w:val="17"/>
              </w:rPr>
              <w:t>✓</w:t>
            </w:r>
          </w:p>
        </w:tc>
        <w:tc>
          <w:tcPr>
            <w:tcW w:type="dxa" w:w="5556"/>
          </w:tcPr>
          <w:p>
            <w:r/>
            <w:r>
              <w:rPr>
                <w:sz w:val="17"/>
              </w:rPr>
              <w:t>Bear −16% / Base +37% / Bull +81%; PIE implies an 11.4% margin vs 17.8% actual</w:t>
            </w:r>
          </w:p>
        </w:tc>
      </w:tr>
      <w:tr>
        <w:tc>
          <w:tcPr>
            <w:tcW w:type="dxa" w:w="794"/>
          </w:tcPr>
          <w:p>
            <w:r/>
            <w:r>
              <w:rPr>
                <w:sz w:val="17"/>
              </w:rPr>
              <w:t>PRE-6</w:t>
            </w:r>
          </w:p>
        </w:tc>
        <w:tc>
          <w:tcPr>
            <w:tcW w:type="dxa" w:w="2608"/>
          </w:tcPr>
          <w:p>
            <w:r/>
            <w:r>
              <w:rPr>
                <w:sz w:val="17"/>
              </w:rPr>
              <w:t>Catalyst</w:t>
            </w:r>
          </w:p>
        </w:tc>
        <w:tc>
          <w:tcPr>
            <w:tcW w:type="dxa" w:w="680"/>
          </w:tcPr>
          <w:p>
            <w:r/>
            <w:r>
              <w:rPr>
                <w:sz w:val="17"/>
              </w:rPr>
              <w:t>✓</w:t>
            </w:r>
          </w:p>
        </w:tc>
        <w:tc>
          <w:tcPr>
            <w:tcW w:type="dxa" w:w="5556"/>
          </w:tcPr>
          <w:p>
            <w:r/>
            <w:r>
              <w:rPr>
                <w:sz w:val="17"/>
              </w:rPr>
              <w:t>Budget 2027 (6 Oct), €50m buyback, 3,200 units 2027, institutional apartment demand</w:t>
            </w:r>
          </w:p>
        </w:tc>
      </w:tr>
      <w:tr>
        <w:tc>
          <w:tcPr>
            <w:tcW w:type="dxa" w:w="794"/>
          </w:tcPr>
          <w:p>
            <w:r/>
            <w:r>
              <w:rPr>
                <w:sz w:val="17"/>
              </w:rPr>
              <w:t>PRE-7</w:t>
            </w:r>
          </w:p>
        </w:tc>
        <w:tc>
          <w:tcPr>
            <w:tcW w:type="dxa" w:w="2608"/>
          </w:tcPr>
          <w:p>
            <w:r/>
            <w:r>
              <w:rPr>
                <w:sz w:val="17"/>
              </w:rPr>
              <w:t>Info che smentirebbe la tesi</w:t>
            </w:r>
          </w:p>
        </w:tc>
        <w:tc>
          <w:tcPr>
            <w:tcW w:type="dxa" w:w="680"/>
          </w:tcPr>
          <w:p>
            <w:r/>
            <w:r>
              <w:rPr>
                <w:sz w:val="17"/>
              </w:rPr>
              <w:t>✓</w:t>
            </w:r>
          </w:p>
        </w:tc>
        <w:tc>
          <w:tcPr>
            <w:tcW w:type="dxa" w:w="5556"/>
          </w:tcPr>
          <w:p>
            <w:r/>
            <w:r>
              <w:rPr>
                <w:sz w:val="17"/>
              </w:rPr>
              <w:t>Thesis invalidation defined (Step 12)</w:t>
            </w:r>
          </w:p>
        </w:tc>
      </w:tr>
      <w:tr>
        <w:tc>
          <w:tcPr>
            <w:tcW w:type="dxa" w:w="794"/>
          </w:tcPr>
          <w:p>
            <w:r/>
            <w:r>
              <w:rPr>
                <w:sz w:val="17"/>
              </w:rPr>
              <w:t>PRE-8</w:t>
            </w:r>
          </w:p>
        </w:tc>
        <w:tc>
          <w:tcPr>
            <w:tcW w:type="dxa" w:w="2608"/>
          </w:tcPr>
          <w:p>
            <w:r/>
            <w:r>
              <w:rPr>
                <w:sz w:val="17"/>
              </w:rPr>
              <w:t>Perché questa vs posizioni esistenti</w:t>
            </w:r>
          </w:p>
        </w:tc>
        <w:tc>
          <w:tcPr>
            <w:tcW w:type="dxa" w:w="680"/>
          </w:tcPr>
          <w:p>
            <w:r/>
            <w:r>
              <w:rPr>
                <w:sz w:val="17"/>
              </w:rPr>
              <w:t>?</w:t>
            </w:r>
          </w:p>
        </w:tc>
        <w:tc>
          <w:tcPr>
            <w:tcW w:type="dxa" w:w="5556"/>
          </w:tcPr>
          <w:p>
            <w:r/>
            <w:r>
              <w:rPr>
                <w:sz w:val="17"/>
              </w:rPr>
              <w:t>Requires portfolio-level comparison, not done here</w:t>
            </w:r>
          </w:p>
        </w:tc>
      </w:tr>
      <w:tr>
        <w:tc>
          <w:tcPr>
            <w:tcW w:type="dxa" w:w="794"/>
          </w:tcPr>
          <w:p>
            <w:r/>
            <w:r>
              <w:rPr>
                <w:sz w:val="17"/>
              </w:rPr>
              <w:t>PRE-9</w:t>
            </w:r>
          </w:p>
        </w:tc>
        <w:tc>
          <w:tcPr>
            <w:tcW w:type="dxa" w:w="2608"/>
          </w:tcPr>
          <w:p>
            <w:r/>
            <w:r>
              <w:rPr>
                <w:sz w:val="17"/>
              </w:rPr>
              <w:t>Comprerei ancora dopo −50%</w:t>
            </w:r>
          </w:p>
        </w:tc>
        <w:tc>
          <w:tcPr>
            <w:tcW w:type="dxa" w:w="680"/>
          </w:tcPr>
          <w:p>
            <w:r/>
            <w:r>
              <w:rPr>
                <w:sz w:val="17"/>
              </w:rPr>
              <w:t>?</w:t>
            </w:r>
          </w:p>
        </w:tc>
        <w:tc>
          <w:tcPr>
            <w:tcW w:type="dxa" w:w="5556"/>
          </w:tcPr>
          <w:p>
            <w:r/>
            <w:r>
              <w:rPr>
                <w:sz w:val="17"/>
              </w:rPr>
              <w:t>Depends on cause; at −50% (≈0.95× book) the outcome hinges on whether ROE holds</w:t>
            </w:r>
          </w:p>
        </w:tc>
      </w:tr>
      <w:tr>
        <w:tc>
          <w:tcPr>
            <w:tcW w:type="dxa" w:w="794"/>
          </w:tcPr>
          <w:p>
            <w:r/>
            <w:r>
              <w:rPr>
                <w:sz w:val="17"/>
              </w:rPr>
              <w:t>PRE-10</w:t>
            </w:r>
          </w:p>
        </w:tc>
        <w:tc>
          <w:tcPr>
            <w:tcW w:type="dxa" w:w="2608"/>
          </w:tcPr>
          <w:p>
            <w:r/>
            <w:r>
              <w:rPr>
                <w:sz w:val="17"/>
              </w:rPr>
              <w:t>Non value trap / turnaround</w:t>
            </w:r>
          </w:p>
        </w:tc>
        <w:tc>
          <w:tcPr>
            <w:tcW w:type="dxa" w:w="680"/>
          </w:tcPr>
          <w:p>
            <w:r/>
            <w:r>
              <w:rPr>
                <w:sz w:val="17"/>
              </w:rPr>
              <w:t>✓</w:t>
            </w:r>
          </w:p>
        </w:tc>
        <w:tc>
          <w:tcPr>
            <w:tcW w:type="dxa" w:w="5556"/>
          </w:tcPr>
          <w:p>
            <w:r/>
            <w:r>
              <w:rPr>
                <w:sz w:val="17"/>
              </w:rPr>
              <w:t>Volumes +60%, ROIC rising 4 years; not cheap-and-declining (but margins at a cyclical high)</w:t>
            </w:r>
          </w:p>
        </w:tc>
      </w:tr>
    </w:tbl>
    <w:p/>
    <w:p>
      <w:pPr>
        <w:pStyle w:val="Heading2"/>
      </w:pPr>
      <w:r>
        <w:t>Business Model ed Economics (7)</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BM-1</w:t>
            </w:r>
          </w:p>
        </w:tc>
        <w:tc>
          <w:tcPr>
            <w:tcW w:type="dxa" w:w="2608"/>
          </w:tcPr>
          <w:p>
            <w:r/>
            <w:r>
              <w:rPr>
                <w:sz w:val="17"/>
              </w:rPr>
              <w:t>Target clientela e value proposition</w:t>
            </w:r>
          </w:p>
        </w:tc>
        <w:tc>
          <w:tcPr>
            <w:tcW w:type="dxa" w:w="680"/>
          </w:tcPr>
          <w:p>
            <w:r/>
            <w:r>
              <w:rPr>
                <w:sz w:val="17"/>
              </w:rPr>
              <w:t>✓</w:t>
            </w:r>
          </w:p>
        </w:tc>
        <w:tc>
          <w:tcPr>
            <w:tcW w:type="dxa" w:w="5556"/>
          </w:tcPr>
          <w:p>
            <w:r/>
            <w:r>
              <w:rPr>
                <w:sz w:val="17"/>
              </w:rPr>
              <w:t>FTBs under €500k caps (60% target) + state partners; affordable-priced new homes</w:t>
            </w:r>
          </w:p>
        </w:tc>
      </w:tr>
      <w:tr>
        <w:tc>
          <w:tcPr>
            <w:tcW w:type="dxa" w:w="794"/>
          </w:tcPr>
          <w:p>
            <w:r/>
            <w:r>
              <w:rPr>
                <w:sz w:val="17"/>
              </w:rPr>
              <w:t>BM-2</w:t>
            </w:r>
          </w:p>
        </w:tc>
        <w:tc>
          <w:tcPr>
            <w:tcW w:type="dxa" w:w="2608"/>
          </w:tcPr>
          <w:p>
            <w:r/>
            <w:r>
              <w:rPr>
                <w:sz w:val="17"/>
              </w:rPr>
              <w:t>Generazione ricavi e mix</w:t>
            </w:r>
          </w:p>
        </w:tc>
        <w:tc>
          <w:tcPr>
            <w:tcW w:type="dxa" w:w="680"/>
          </w:tcPr>
          <w:p>
            <w:r/>
            <w:r>
              <w:rPr>
                <w:sz w:val="17"/>
              </w:rPr>
              <w:t>✓</w:t>
            </w:r>
          </w:p>
        </w:tc>
        <w:tc>
          <w:tcPr>
            <w:tcW w:type="dxa" w:w="5556"/>
          </w:tcPr>
          <w:p>
            <w:r/>
            <w:r>
              <w:rPr>
                <w:sz w:val="17"/>
              </w:rPr>
              <w:t>Home closings: private houses, apartments (Croí Cónaithe), forward-funded state sales</w:t>
            </w:r>
          </w:p>
        </w:tc>
      </w:tr>
      <w:tr>
        <w:tc>
          <w:tcPr>
            <w:tcW w:type="dxa" w:w="794"/>
          </w:tcPr>
          <w:p>
            <w:r/>
            <w:r>
              <w:rPr>
                <w:sz w:val="17"/>
              </w:rPr>
              <w:t>BM-3</w:t>
            </w:r>
          </w:p>
        </w:tc>
        <w:tc>
          <w:tcPr>
            <w:tcW w:type="dxa" w:w="2608"/>
          </w:tcPr>
          <w:p>
            <w:r/>
            <w:r>
              <w:rPr>
                <w:sz w:val="17"/>
              </w:rPr>
              <w:t>Struttura costi granulare</w:t>
            </w:r>
          </w:p>
        </w:tc>
        <w:tc>
          <w:tcPr>
            <w:tcW w:type="dxa" w:w="680"/>
          </w:tcPr>
          <w:p>
            <w:r/>
            <w:r>
              <w:rPr>
                <w:sz w:val="17"/>
              </w:rPr>
              <w:t>✓</w:t>
            </w:r>
          </w:p>
        </w:tc>
        <w:tc>
          <w:tcPr>
            <w:tcW w:type="dxa" w:w="5556"/>
          </w:tcPr>
          <w:p>
            <w:r/>
            <w:r>
              <w:rPr>
                <w:sz w:val="17"/>
              </w:rPr>
              <w:t>Land €37k/plot (≈9% ASP), build inflation 2.5%, 95% procured, opex €40m, GM 21–22%</w:t>
            </w:r>
          </w:p>
        </w:tc>
      </w:tr>
      <w:tr>
        <w:tc>
          <w:tcPr>
            <w:tcW w:type="dxa" w:w="794"/>
          </w:tcPr>
          <w:p>
            <w:r/>
            <w:r>
              <w:rPr>
                <w:sz w:val="17"/>
              </w:rPr>
              <w:t>BM-4</w:t>
            </w:r>
          </w:p>
        </w:tc>
        <w:tc>
          <w:tcPr>
            <w:tcW w:type="dxa" w:w="2608"/>
          </w:tcPr>
          <w:p>
            <w:r/>
            <w:r>
              <w:rPr>
                <w:sz w:val="17"/>
              </w:rPr>
              <w:t>Leva operativa</w:t>
            </w:r>
          </w:p>
        </w:tc>
        <w:tc>
          <w:tcPr>
            <w:tcW w:type="dxa" w:w="680"/>
          </w:tcPr>
          <w:p>
            <w:r/>
            <w:r>
              <w:rPr>
                <w:sz w:val="17"/>
              </w:rPr>
              <w:t>✓</w:t>
            </w:r>
          </w:p>
        </w:tc>
        <w:tc>
          <w:tcPr>
            <w:tcW w:type="dxa" w:w="5556"/>
          </w:tcPr>
          <w:p>
            <w:r/>
            <w:r>
              <w:rPr>
                <w:sz w:val="17"/>
              </w:rPr>
              <w:t>H1 revenue +60%, opex +7%, EBIT +75%</w:t>
            </w:r>
          </w:p>
        </w:tc>
      </w:tr>
      <w:tr>
        <w:tc>
          <w:tcPr>
            <w:tcW w:type="dxa" w:w="794"/>
          </w:tcPr>
          <w:p>
            <w:r/>
            <w:r>
              <w:rPr>
                <w:sz w:val="17"/>
              </w:rPr>
              <w:t>BM-5</w:t>
            </w:r>
          </w:p>
        </w:tc>
        <w:tc>
          <w:tcPr>
            <w:tcW w:type="dxa" w:w="2608"/>
          </w:tcPr>
          <w:p>
            <w:r/>
            <w:r>
              <w:rPr>
                <w:sz w:val="17"/>
              </w:rPr>
              <w:t>Go-to-market</w:t>
            </w:r>
          </w:p>
        </w:tc>
        <w:tc>
          <w:tcPr>
            <w:tcW w:type="dxa" w:w="680"/>
          </w:tcPr>
          <w:p>
            <w:r/>
            <w:r>
              <w:rPr>
                <w:sz w:val="17"/>
              </w:rPr>
              <w:t>✓</w:t>
            </w:r>
          </w:p>
        </w:tc>
        <w:tc>
          <w:tcPr>
            <w:tcW w:type="dxa" w:w="5556"/>
          </w:tcPr>
          <w:p>
            <w:r/>
            <w:r>
              <w:rPr>
                <w:sz w:val="17"/>
              </w:rPr>
              <w:t>Show-home sales 3.7/site/week, forward funds with AHB/LDA, Croí Cónaithe</w:t>
            </w:r>
          </w:p>
        </w:tc>
      </w:tr>
      <w:tr>
        <w:tc>
          <w:tcPr>
            <w:tcW w:type="dxa" w:w="794"/>
          </w:tcPr>
          <w:p>
            <w:r/>
            <w:r>
              <w:rPr>
                <w:sz w:val="17"/>
              </w:rPr>
              <w:t>BM-6</w:t>
            </w:r>
          </w:p>
        </w:tc>
        <w:tc>
          <w:tcPr>
            <w:tcW w:type="dxa" w:w="2608"/>
          </w:tcPr>
          <w:p>
            <w:r/>
            <w:r>
              <w:rPr>
                <w:sz w:val="17"/>
              </w:rPr>
              <w:t>Pricing power non sfruttato</w:t>
            </w:r>
          </w:p>
        </w:tc>
        <w:tc>
          <w:tcPr>
            <w:tcW w:type="dxa" w:w="680"/>
          </w:tcPr>
          <w:p>
            <w:r/>
            <w:r>
              <w:rPr>
                <w:sz w:val="17"/>
              </w:rPr>
              <w:t>✓</w:t>
            </w:r>
          </w:p>
        </w:tc>
        <w:tc>
          <w:tcPr>
            <w:tcW w:type="dxa" w:w="5556"/>
          </w:tcPr>
          <w:p>
            <w:r/>
            <w:r>
              <w:rPr>
                <w:sz w:val="17"/>
              </w:rPr>
              <w:t>ASP +1.6% held under scheme caps by choice; headroom exists, but policy caps limit its use</w:t>
            </w:r>
          </w:p>
        </w:tc>
      </w:tr>
      <w:tr>
        <w:tc>
          <w:tcPr>
            <w:tcW w:type="dxa" w:w="794"/>
          </w:tcPr>
          <w:p>
            <w:r/>
            <w:r>
              <w:rPr>
                <w:sz w:val="17"/>
              </w:rPr>
              <w:t>BM-7</w:t>
            </w:r>
          </w:p>
        </w:tc>
        <w:tc>
          <w:tcPr>
            <w:tcW w:type="dxa" w:w="2608"/>
          </w:tcPr>
          <w:p>
            <w:r/>
            <w:r>
              <w:rPr>
                <w:sz w:val="17"/>
              </w:rPr>
              <w:t>Partner strategici e risorse</w:t>
            </w:r>
          </w:p>
        </w:tc>
        <w:tc>
          <w:tcPr>
            <w:tcW w:type="dxa" w:w="680"/>
          </w:tcPr>
          <w:p>
            <w:r/>
            <w:r>
              <w:rPr>
                <w:sz w:val="17"/>
              </w:rPr>
              <w:t>✓</w:t>
            </w:r>
          </w:p>
        </w:tc>
        <w:tc>
          <w:tcPr>
            <w:tcW w:type="dxa" w:w="5556"/>
          </w:tcPr>
          <w:p>
            <w:r/>
            <w:r>
              <w:rPr>
                <w:sz w:val="17"/>
              </w:rPr>
              <w:t>Multi-year supply-chain packages, €500m bank syndicate + PGIM, LDA/AHBs</w:t>
            </w:r>
          </w:p>
        </w:tc>
      </w:tr>
    </w:tbl>
    <w:p/>
    <w:p>
      <w:pPr>
        <w:pStyle w:val="Heading2"/>
      </w:pPr>
      <w:r>
        <w:t>Unit Economics e KPI (7)</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UE-1</w:t>
            </w:r>
          </w:p>
        </w:tc>
        <w:tc>
          <w:tcPr>
            <w:tcW w:type="dxa" w:w="2608"/>
          </w:tcPr>
          <w:p>
            <w:r/>
            <w:r>
              <w:rPr>
                <w:sz w:val="17"/>
              </w:rPr>
              <w:t>Unit economics buone e in trend</w:t>
            </w:r>
          </w:p>
        </w:tc>
        <w:tc>
          <w:tcPr>
            <w:tcW w:type="dxa" w:w="680"/>
          </w:tcPr>
          <w:p>
            <w:r/>
            <w:r>
              <w:rPr>
                <w:sz w:val="17"/>
              </w:rPr>
              <w:t>✓</w:t>
            </w:r>
          </w:p>
        </w:tc>
        <w:tc>
          <w:tcPr>
            <w:tcW w:type="dxa" w:w="5556"/>
          </w:tcPr>
          <w:p>
            <w:r/>
            <w:r>
              <w:rPr>
                <w:sz w:val="17"/>
              </w:rPr>
              <w:t>GM 21.7–22.2% stable FY22–25; land cost low; ASP stable</w:t>
            </w:r>
          </w:p>
        </w:tc>
      </w:tr>
      <w:tr>
        <w:tc>
          <w:tcPr>
            <w:tcW w:type="dxa" w:w="794"/>
          </w:tcPr>
          <w:p>
            <w:r/>
            <w:r>
              <w:rPr>
                <w:sz w:val="17"/>
              </w:rPr>
              <w:t>UE-2</w:t>
            </w:r>
          </w:p>
        </w:tc>
        <w:tc>
          <w:tcPr>
            <w:tcW w:type="dxa" w:w="2608"/>
          </w:tcPr>
          <w:p>
            <w:r/>
            <w:r>
              <w:rPr>
                <w:sz w:val="17"/>
              </w:rPr>
              <w:t>3-4 KPI chiave e trend</w:t>
            </w:r>
          </w:p>
        </w:tc>
        <w:tc>
          <w:tcPr>
            <w:tcW w:type="dxa" w:w="680"/>
          </w:tcPr>
          <w:p>
            <w:r/>
            <w:r>
              <w:rPr>
                <w:sz w:val="17"/>
              </w:rPr>
              <w:t>✓</w:t>
            </w:r>
          </w:p>
        </w:tc>
        <w:tc>
          <w:tcPr>
            <w:tcW w:type="dxa" w:w="5556"/>
          </w:tcPr>
          <w:p>
            <w:r/>
            <w:r>
              <w:rPr>
                <w:sz w:val="17"/>
              </w:rPr>
              <w:t>Completions 1,120→2,796; op margin 13.8→18.0%; order book €1.44bn; sales rate</w:t>
            </w:r>
          </w:p>
        </w:tc>
      </w:tr>
      <w:tr>
        <w:tc>
          <w:tcPr>
            <w:tcW w:type="dxa" w:w="794"/>
          </w:tcPr>
          <w:p>
            <w:r/>
            <w:r>
              <w:rPr>
                <w:sz w:val="17"/>
              </w:rPr>
              <w:t>UE-3</w:t>
            </w:r>
          </w:p>
        </w:tc>
        <w:tc>
          <w:tcPr>
            <w:tcW w:type="dxa" w:w="2608"/>
          </w:tcPr>
          <w:p>
            <w:r/>
            <w:r>
              <w:rPr>
                <w:sz w:val="17"/>
              </w:rPr>
              <w:t>Ciclo del cash flow</w:t>
            </w:r>
          </w:p>
        </w:tc>
        <w:tc>
          <w:tcPr>
            <w:tcW w:type="dxa" w:w="680"/>
          </w:tcPr>
          <w:p>
            <w:r/>
            <w:r>
              <w:rPr>
                <w:sz w:val="17"/>
              </w:rPr>
              <w:t>✓</w:t>
            </w:r>
          </w:p>
        </w:tc>
        <w:tc>
          <w:tcPr>
            <w:tcW w:type="dxa" w:w="5556"/>
          </w:tcPr>
          <w:p>
            <w:r/>
            <w:r>
              <w:rPr>
                <w:sz w:val="17"/>
              </w:rPr>
              <w:t>Land → WIP → closing; FY25 OCF €70.6m (WIP build) → TTM €211.6m</w:t>
            </w:r>
          </w:p>
        </w:tc>
      </w:tr>
      <w:tr>
        <w:tc>
          <w:tcPr>
            <w:tcW w:type="dxa" w:w="794"/>
          </w:tcPr>
          <w:p>
            <w:r/>
            <w:r>
              <w:rPr>
                <w:sz w:val="17"/>
              </w:rPr>
              <w:t>UE-4</w:t>
            </w:r>
          </w:p>
        </w:tc>
        <w:tc>
          <w:tcPr>
            <w:tcW w:type="dxa" w:w="2608"/>
          </w:tcPr>
          <w:p>
            <w:r/>
            <w:r>
              <w:rPr>
                <w:sz w:val="17"/>
              </w:rPr>
              <w:t>ROIC e ROIIC</w:t>
            </w:r>
          </w:p>
        </w:tc>
        <w:tc>
          <w:tcPr>
            <w:tcW w:type="dxa" w:w="680"/>
          </w:tcPr>
          <w:p>
            <w:r/>
            <w:r>
              <w:rPr>
                <w:sz w:val="17"/>
              </w:rPr>
              <w:t>✓</w:t>
            </w:r>
          </w:p>
        </w:tc>
        <w:tc>
          <w:tcPr>
            <w:tcW w:type="dxa" w:w="5556"/>
          </w:tcPr>
          <w:p>
            <w:r/>
            <w:r>
              <w:rPr>
                <w:sz w:val="17"/>
              </w:rPr>
              <w:t>ROIC 14.7% FY25 / c.16.6% TTM; ROIIC FY23→TTM c.51% (helped by margin expansion)</w:t>
            </w:r>
          </w:p>
        </w:tc>
      </w:tr>
      <w:tr>
        <w:tc>
          <w:tcPr>
            <w:tcW w:type="dxa" w:w="794"/>
          </w:tcPr>
          <w:p>
            <w:r/>
            <w:r>
              <w:rPr>
                <w:sz w:val="17"/>
              </w:rPr>
              <w:t>UE-5</w:t>
            </w:r>
          </w:p>
        </w:tc>
        <w:tc>
          <w:tcPr>
            <w:tcW w:type="dxa" w:w="2608"/>
          </w:tcPr>
          <w:p>
            <w:r/>
            <w:r>
              <w:rPr>
                <w:sz w:val="17"/>
              </w:rPr>
              <w:t>Capital intensity</w:t>
            </w:r>
          </w:p>
        </w:tc>
        <w:tc>
          <w:tcPr>
            <w:tcW w:type="dxa" w:w="680"/>
          </w:tcPr>
          <w:p>
            <w:r/>
            <w:r>
              <w:rPr>
                <w:sz w:val="17"/>
              </w:rPr>
              <w:t>✓</w:t>
            </w:r>
          </w:p>
        </w:tc>
        <w:tc>
          <w:tcPr>
            <w:tcW w:type="dxa" w:w="5556"/>
          </w:tcPr>
          <w:p>
            <w:r/>
            <w:r>
              <w:rPr>
                <w:sz w:val="17"/>
              </w:rPr>
              <w:t>Invested capital / revenue c.1.0×; inventory €1.18bn; analysed in Step 5</w:t>
            </w:r>
          </w:p>
        </w:tc>
      </w:tr>
      <w:tr>
        <w:tc>
          <w:tcPr>
            <w:tcW w:type="dxa" w:w="794"/>
          </w:tcPr>
          <w:p>
            <w:r/>
            <w:r>
              <w:rPr>
                <w:sz w:val="17"/>
              </w:rPr>
              <w:t>UE-6</w:t>
            </w:r>
          </w:p>
        </w:tc>
        <w:tc>
          <w:tcPr>
            <w:tcW w:type="dxa" w:w="2608"/>
          </w:tcPr>
          <w:p>
            <w:r/>
            <w:r>
              <w:rPr>
                <w:sz w:val="17"/>
              </w:rPr>
              <w:t>Margini incrementali</w:t>
            </w:r>
          </w:p>
        </w:tc>
        <w:tc>
          <w:tcPr>
            <w:tcW w:type="dxa" w:w="680"/>
          </w:tcPr>
          <w:p>
            <w:r/>
            <w:r>
              <w:rPr>
                <w:sz w:val="17"/>
              </w:rPr>
              <w:t>✓</w:t>
            </w:r>
          </w:p>
        </w:tc>
        <w:tc>
          <w:tcPr>
            <w:tcW w:type="dxa" w:w="5556"/>
          </w:tcPr>
          <w:p>
            <w:r/>
            <w:r>
              <w:rPr>
                <w:sz w:val="17"/>
              </w:rPr>
              <w:t>Incremental EBIT margin: FY25 22%, H1-26 18.8%</w:t>
            </w:r>
          </w:p>
        </w:tc>
      </w:tr>
      <w:tr>
        <w:tc>
          <w:tcPr>
            <w:tcW w:type="dxa" w:w="794"/>
          </w:tcPr>
          <w:p>
            <w:r/>
            <w:r>
              <w:rPr>
                <w:sz w:val="17"/>
              </w:rPr>
              <w:t>UE-7</w:t>
            </w:r>
          </w:p>
        </w:tc>
        <w:tc>
          <w:tcPr>
            <w:tcW w:type="dxa" w:w="2608"/>
          </w:tcPr>
          <w:p>
            <w:r/>
            <w:r>
              <w:rPr>
                <w:sz w:val="17"/>
              </w:rPr>
              <w:t>Gross profit vs marketing</w:t>
            </w:r>
          </w:p>
        </w:tc>
        <w:tc>
          <w:tcPr>
            <w:tcW w:type="dxa" w:w="680"/>
          </w:tcPr>
          <w:p>
            <w:r/>
            <w:r>
              <w:rPr>
                <w:sz w:val="17"/>
              </w:rPr>
              <w:t>?</w:t>
            </w:r>
          </w:p>
        </w:tc>
        <w:tc>
          <w:tcPr>
            <w:tcW w:type="dxa" w:w="5556"/>
          </w:tcPr>
          <w:p>
            <w:r/>
            <w:r>
              <w:rPr>
                <w:sz w:val="17"/>
              </w:rPr>
              <w:t>Marketing spend not disclosed separately</w:t>
            </w:r>
          </w:p>
        </w:tc>
      </w:tr>
    </w:tbl>
    <w:p/>
    <w:p>
      <w:pPr>
        <w:pStyle w:val="Heading2"/>
      </w:pPr>
      <w:r>
        <w:t>Strategia e Risorse (10)</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STR-1</w:t>
            </w:r>
          </w:p>
        </w:tc>
        <w:tc>
          <w:tcPr>
            <w:tcW w:type="dxa" w:w="2608"/>
          </w:tcPr>
          <w:p>
            <w:r/>
            <w:r>
              <w:rPr>
                <w:sz w:val="17"/>
              </w:rPr>
              <w:t>Strategia (volumi vs margini)</w:t>
            </w:r>
          </w:p>
        </w:tc>
        <w:tc>
          <w:tcPr>
            <w:tcW w:type="dxa" w:w="680"/>
          </w:tcPr>
          <w:p>
            <w:r/>
            <w:r>
              <w:rPr>
                <w:sz w:val="17"/>
              </w:rPr>
              <w:t>✓</w:t>
            </w:r>
          </w:p>
        </w:tc>
        <w:tc>
          <w:tcPr>
            <w:tcW w:type="dxa" w:w="5556"/>
          </w:tcPr>
          <w:p>
            <w:r/>
            <w:r>
              <w:rPr>
                <w:sz w:val="17"/>
              </w:rPr>
              <w:t>Volume at affordable price points, scale-driven</w:t>
            </w:r>
          </w:p>
        </w:tc>
      </w:tr>
      <w:tr>
        <w:tc>
          <w:tcPr>
            <w:tcW w:type="dxa" w:w="794"/>
          </w:tcPr>
          <w:p>
            <w:r/>
            <w:r>
              <w:rPr>
                <w:sz w:val="17"/>
              </w:rPr>
              <w:t>STR-2</w:t>
            </w:r>
          </w:p>
        </w:tc>
        <w:tc>
          <w:tcPr>
            <w:tcW w:type="dxa" w:w="2608"/>
          </w:tcPr>
          <w:p>
            <w:r/>
            <w:r>
              <w:rPr>
                <w:sz w:val="17"/>
              </w:rPr>
              <w:t>Value chain</w:t>
            </w:r>
          </w:p>
        </w:tc>
        <w:tc>
          <w:tcPr>
            <w:tcW w:type="dxa" w:w="680"/>
          </w:tcPr>
          <w:p>
            <w:r/>
            <w:r>
              <w:rPr>
                <w:sz w:val="17"/>
              </w:rPr>
              <w:t>✓</w:t>
            </w:r>
          </w:p>
        </w:tc>
        <w:tc>
          <w:tcPr>
            <w:tcW w:type="dxa" w:w="5556"/>
          </w:tcPr>
          <w:p>
            <w:r/>
            <w:r>
              <w:rPr>
                <w:sz w:val="17"/>
              </w:rPr>
              <w:t>Land → planning → design → subcontracted construction → buyer/state finance</w:t>
            </w:r>
          </w:p>
        </w:tc>
      </w:tr>
      <w:tr>
        <w:tc>
          <w:tcPr>
            <w:tcW w:type="dxa" w:w="794"/>
          </w:tcPr>
          <w:p>
            <w:r/>
            <w:r>
              <w:rPr>
                <w:sz w:val="17"/>
              </w:rPr>
              <w:t>STR-3</w:t>
            </w:r>
          </w:p>
        </w:tc>
        <w:tc>
          <w:tcPr>
            <w:tcW w:type="dxa" w:w="2608"/>
          </w:tcPr>
          <w:p>
            <w:r/>
            <w:r>
              <w:rPr>
                <w:sz w:val="17"/>
              </w:rPr>
              <w:t>Evoluzione value chain</w:t>
            </w:r>
          </w:p>
        </w:tc>
        <w:tc>
          <w:tcPr>
            <w:tcW w:type="dxa" w:w="680"/>
          </w:tcPr>
          <w:p>
            <w:r/>
            <w:r>
              <w:rPr>
                <w:sz w:val="17"/>
              </w:rPr>
              <w:t>?</w:t>
            </w:r>
          </w:p>
        </w:tc>
        <w:tc>
          <w:tcPr>
            <w:tcW w:type="dxa" w:w="5556"/>
          </w:tcPr>
          <w:p>
            <w:r/>
            <w:r>
              <w:rPr>
                <w:sz w:val="17"/>
              </w:rPr>
              <w:t>MMC/off-site modularisation not researched</w:t>
            </w:r>
          </w:p>
        </w:tc>
      </w:tr>
      <w:tr>
        <w:tc>
          <w:tcPr>
            <w:tcW w:type="dxa" w:w="794"/>
          </w:tcPr>
          <w:p>
            <w:r/>
            <w:r>
              <w:rPr>
                <w:sz w:val="17"/>
              </w:rPr>
              <w:t>STR-4</w:t>
            </w:r>
          </w:p>
        </w:tc>
        <w:tc>
          <w:tcPr>
            <w:tcW w:type="dxa" w:w="2608"/>
          </w:tcPr>
          <w:p>
            <w:r/>
            <w:r>
              <w:rPr>
                <w:sz w:val="17"/>
              </w:rPr>
              <w:t>Integrazione verticale</w:t>
            </w:r>
          </w:p>
        </w:tc>
        <w:tc>
          <w:tcPr>
            <w:tcW w:type="dxa" w:w="680"/>
          </w:tcPr>
          <w:p>
            <w:r/>
            <w:r>
              <w:rPr>
                <w:sz w:val="17"/>
              </w:rPr>
              <w:t>✓</w:t>
            </w:r>
          </w:p>
        </w:tc>
        <w:tc>
          <w:tcPr>
            <w:tcW w:type="dxa" w:w="5556"/>
          </w:tcPr>
          <w:p>
            <w:r/>
            <w:r>
              <w:rPr>
                <w:sz w:val="17"/>
              </w:rPr>
              <w:t>In-house land, planning, design, project management; trades via partners</w:t>
            </w:r>
          </w:p>
        </w:tc>
      </w:tr>
      <w:tr>
        <w:tc>
          <w:tcPr>
            <w:tcW w:type="dxa" w:w="794"/>
          </w:tcPr>
          <w:p>
            <w:r/>
            <w:r>
              <w:rPr>
                <w:sz w:val="17"/>
              </w:rPr>
              <w:t>STR-5</w:t>
            </w:r>
          </w:p>
        </w:tc>
        <w:tc>
          <w:tcPr>
            <w:tcW w:type="dxa" w:w="2608"/>
          </w:tcPr>
          <w:p>
            <w:r/>
            <w:r>
              <w:rPr>
                <w:sz w:val="17"/>
              </w:rPr>
              <w:t>Fattori chiave di successo</w:t>
            </w:r>
          </w:p>
        </w:tc>
        <w:tc>
          <w:tcPr>
            <w:tcW w:type="dxa" w:w="680"/>
          </w:tcPr>
          <w:p>
            <w:r/>
            <w:r>
              <w:rPr>
                <w:sz w:val="17"/>
              </w:rPr>
              <w:t>✓</w:t>
            </w:r>
          </w:p>
        </w:tc>
        <w:tc>
          <w:tcPr>
            <w:tcW w:type="dxa" w:w="5556"/>
          </w:tcPr>
          <w:p>
            <w:r/>
            <w:r>
              <w:rPr>
                <w:sz w:val="17"/>
              </w:rPr>
              <w:t>Planned land, cost of capital access, build-cost control, scheme-eligible pricing</w:t>
            </w:r>
          </w:p>
        </w:tc>
      </w:tr>
      <w:tr>
        <w:tc>
          <w:tcPr>
            <w:tcW w:type="dxa" w:w="794"/>
          </w:tcPr>
          <w:p>
            <w:r/>
            <w:r>
              <w:rPr>
                <w:sz w:val="17"/>
              </w:rPr>
              <w:t>STR-6</w:t>
            </w:r>
          </w:p>
        </w:tc>
        <w:tc>
          <w:tcPr>
            <w:tcW w:type="dxa" w:w="2608"/>
          </w:tcPr>
          <w:p>
            <w:r/>
            <w:r>
              <w:rPr>
                <w:sz w:val="17"/>
              </w:rPr>
              <w:t>Monopolio/duopolio/struttura favorevole</w:t>
            </w:r>
          </w:p>
        </w:tc>
        <w:tc>
          <w:tcPr>
            <w:tcW w:type="dxa" w:w="680"/>
          </w:tcPr>
          <w:p>
            <w:r/>
            <w:r>
              <w:rPr>
                <w:sz w:val="17"/>
              </w:rPr>
              <w:t>✗</w:t>
            </w:r>
          </w:p>
        </w:tc>
        <w:tc>
          <w:tcPr>
            <w:tcW w:type="dxa" w:w="5556"/>
          </w:tcPr>
          <w:p>
            <w:r/>
            <w:r>
              <w:rPr>
                <w:sz w:val="17"/>
              </w:rPr>
              <w:t>Fragmented market; Cairn c.7% of national completions</w:t>
            </w:r>
          </w:p>
        </w:tc>
      </w:tr>
      <w:tr>
        <w:tc>
          <w:tcPr>
            <w:tcW w:type="dxa" w:w="794"/>
          </w:tcPr>
          <w:p>
            <w:r/>
            <w:r>
              <w:rPr>
                <w:sz w:val="17"/>
              </w:rPr>
              <w:t>STR-7</w:t>
            </w:r>
          </w:p>
        </w:tc>
        <w:tc>
          <w:tcPr>
            <w:tcW w:type="dxa" w:w="2608"/>
          </w:tcPr>
          <w:p>
            <w:r/>
            <w:r>
              <w:rPr>
                <w:sz w:val="17"/>
              </w:rPr>
              <w:t>Condotta razionale dei player</w:t>
            </w:r>
          </w:p>
        </w:tc>
        <w:tc>
          <w:tcPr>
            <w:tcW w:type="dxa" w:w="680"/>
          </w:tcPr>
          <w:p>
            <w:r/>
            <w:r>
              <w:rPr>
                <w:sz w:val="17"/>
              </w:rPr>
              <w:t>✓</w:t>
            </w:r>
          </w:p>
        </w:tc>
        <w:tc>
          <w:tcPr>
            <w:tcW w:type="dxa" w:w="5556"/>
          </w:tcPr>
          <w:p>
            <w:r/>
            <w:r>
              <w:rPr>
                <w:sz w:val="17"/>
              </w:rPr>
              <w:t>No discounting evident; undersupply keeps pricing benign (structural, not disciplined)</w:t>
            </w:r>
          </w:p>
        </w:tc>
      </w:tr>
      <w:tr>
        <w:tc>
          <w:tcPr>
            <w:tcW w:type="dxa" w:w="794"/>
          </w:tcPr>
          <w:p>
            <w:r/>
            <w:r>
              <w:rPr>
                <w:sz w:val="17"/>
              </w:rPr>
              <w:t>STR-8</w:t>
            </w:r>
          </w:p>
        </w:tc>
        <w:tc>
          <w:tcPr>
            <w:tcW w:type="dxa" w:w="2608"/>
          </w:tcPr>
          <w:p>
            <w:r/>
            <w:r>
              <w:rPr>
                <w:sz w:val="17"/>
              </w:rPr>
              <w:t>Barriere all'entrata</w:t>
            </w:r>
          </w:p>
        </w:tc>
        <w:tc>
          <w:tcPr>
            <w:tcW w:type="dxa" w:w="680"/>
          </w:tcPr>
          <w:p>
            <w:r/>
            <w:r>
              <w:rPr>
                <w:sz w:val="17"/>
              </w:rPr>
              <w:t>✓</w:t>
            </w:r>
          </w:p>
        </w:tc>
        <w:tc>
          <w:tcPr>
            <w:tcW w:type="dxa" w:w="5556"/>
          </w:tcPr>
          <w:p>
            <w:r/>
            <w:r>
              <w:rPr>
                <w:sz w:val="17"/>
              </w:rPr>
              <w:t>Capital (€1.18bn inventory), planning permissions; moderate</w:t>
            </w:r>
          </w:p>
        </w:tc>
      </w:tr>
      <w:tr>
        <w:tc>
          <w:tcPr>
            <w:tcW w:type="dxa" w:w="794"/>
          </w:tcPr>
          <w:p>
            <w:r/>
            <w:r>
              <w:rPr>
                <w:sz w:val="17"/>
              </w:rPr>
              <w:t>STR-9</w:t>
            </w:r>
          </w:p>
        </w:tc>
        <w:tc>
          <w:tcPr>
            <w:tcW w:type="dxa" w:w="2608"/>
          </w:tcPr>
          <w:p>
            <w:r/>
            <w:r>
              <w:rPr>
                <w:sz w:val="17"/>
              </w:rPr>
              <w:t>5 forze</w:t>
            </w:r>
          </w:p>
        </w:tc>
        <w:tc>
          <w:tcPr>
            <w:tcW w:type="dxa" w:w="680"/>
          </w:tcPr>
          <w:p>
            <w:r/>
            <w:r>
              <w:rPr>
                <w:sz w:val="17"/>
              </w:rPr>
              <w:t>✓</w:t>
            </w:r>
          </w:p>
        </w:tc>
        <w:tc>
          <w:tcPr>
            <w:tcW w:type="dxa" w:w="5556"/>
          </w:tcPr>
          <w:p>
            <w:r/>
            <w:r>
              <w:rPr>
                <w:sz w:val="17"/>
              </w:rPr>
              <w:t>Buyers: state is a powerful buyer; suppliers: trades/materials; rivals fragmented; substitute = second-hand stock</w:t>
            </w:r>
          </w:p>
        </w:tc>
      </w:tr>
      <w:tr>
        <w:tc>
          <w:tcPr>
            <w:tcW w:type="dxa" w:w="794"/>
          </w:tcPr>
          <w:p>
            <w:r/>
            <w:r>
              <w:rPr>
                <w:sz w:val="17"/>
              </w:rPr>
              <w:t>STR-10</w:t>
            </w:r>
          </w:p>
        </w:tc>
        <w:tc>
          <w:tcPr>
            <w:tcW w:type="dxa" w:w="2608"/>
          </w:tcPr>
          <w:p>
            <w:r/>
            <w:r>
              <w:rPr>
                <w:sz w:val="17"/>
              </w:rPr>
              <w:t>Risorse di maggior valore</w:t>
            </w:r>
          </w:p>
        </w:tc>
        <w:tc>
          <w:tcPr>
            <w:tcW w:type="dxa" w:w="680"/>
          </w:tcPr>
          <w:p>
            <w:r/>
            <w:r>
              <w:rPr>
                <w:sz w:val="17"/>
              </w:rPr>
              <w:t>✓</w:t>
            </w:r>
          </w:p>
        </w:tc>
        <w:tc>
          <w:tcPr>
            <w:tcW w:type="dxa" w:w="5556"/>
          </w:tcPr>
          <w:p>
            <w:r/>
            <w:r>
              <w:rPr>
                <w:sz w:val="17"/>
              </w:rPr>
              <w:t>Planned land bank, state relationships, procurement scale</w:t>
            </w:r>
          </w:p>
        </w:tc>
      </w:tr>
    </w:tbl>
    <w:p/>
    <w:p>
      <w:pPr>
        <w:pStyle w:val="Heading2"/>
      </w:pPr>
      <w:r>
        <w:t>Power Dynamics (9)</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PD-1</w:t>
            </w:r>
          </w:p>
        </w:tc>
        <w:tc>
          <w:tcPr>
            <w:tcW w:type="dxa" w:w="2608"/>
          </w:tcPr>
          <w:p>
            <w:r/>
            <w:r>
              <w:rPr>
                <w:sz w:val="17"/>
              </w:rPr>
              <w:t>Punto di flesso strategico</w:t>
            </w:r>
          </w:p>
        </w:tc>
        <w:tc>
          <w:tcPr>
            <w:tcW w:type="dxa" w:w="680"/>
          </w:tcPr>
          <w:p>
            <w:r/>
            <w:r>
              <w:rPr>
                <w:sz w:val="17"/>
              </w:rPr>
              <w:t>✓</w:t>
            </w:r>
          </w:p>
        </w:tc>
        <w:tc>
          <w:tcPr>
            <w:tcW w:type="dxa" w:w="5556"/>
          </w:tcPr>
          <w:p>
            <w:r/>
            <w:r>
              <w:rPr>
                <w:sz w:val="17"/>
              </w:rPr>
              <w:t>Output step-up + end of the land-investment phase → FCF inflection</w:t>
            </w:r>
          </w:p>
        </w:tc>
      </w:tr>
      <w:tr>
        <w:tc>
          <w:tcPr>
            <w:tcW w:type="dxa" w:w="794"/>
          </w:tcPr>
          <w:p>
            <w:r/>
            <w:r>
              <w:rPr>
                <w:sz w:val="17"/>
              </w:rPr>
              <w:t>PD-2</w:t>
            </w:r>
          </w:p>
        </w:tc>
        <w:tc>
          <w:tcPr>
            <w:tcW w:type="dxa" w:w="2608"/>
          </w:tcPr>
          <w:p>
            <w:r/>
            <w:r>
              <w:rPr>
                <w:sz w:val="17"/>
              </w:rPr>
              <w:t>Fase (origine/takeoff/stabilità)</w:t>
            </w:r>
          </w:p>
        </w:tc>
        <w:tc>
          <w:tcPr>
            <w:tcW w:type="dxa" w:w="680"/>
          </w:tcPr>
          <w:p>
            <w:r/>
            <w:r>
              <w:rPr>
                <w:sz w:val="17"/>
              </w:rPr>
              <w:t>✓</w:t>
            </w:r>
          </w:p>
        </w:tc>
        <w:tc>
          <w:tcPr>
            <w:tcW w:type="dxa" w:w="5556"/>
          </w:tcPr>
          <w:p>
            <w:r/>
            <w:r>
              <w:rPr>
                <w:sz w:val="17"/>
              </w:rPr>
              <w:t>Late takeoff → stability; apartments are the new growth line</w:t>
            </w:r>
          </w:p>
        </w:tc>
      </w:tr>
      <w:tr>
        <w:tc>
          <w:tcPr>
            <w:tcW w:type="dxa" w:w="794"/>
          </w:tcPr>
          <w:p>
            <w:r/>
            <w:r>
              <w:rPr>
                <w:sz w:val="17"/>
              </w:rPr>
              <w:t>PD-3</w:t>
            </w:r>
          </w:p>
        </w:tc>
        <w:tc>
          <w:tcPr>
            <w:tcW w:type="dxa" w:w="2608"/>
          </w:tcPr>
          <w:p>
            <w:r/>
            <w:r>
              <w:rPr>
                <w:sz w:val="17"/>
              </w:rPr>
              <w:t>Competitor diretti/indiretti/potenziali</w:t>
            </w:r>
          </w:p>
        </w:tc>
        <w:tc>
          <w:tcPr>
            <w:tcW w:type="dxa" w:w="680"/>
          </w:tcPr>
          <w:p>
            <w:r/>
            <w:r>
              <w:rPr>
                <w:sz w:val="17"/>
              </w:rPr>
              <w:t>✓</w:t>
            </w:r>
          </w:p>
        </w:tc>
        <w:tc>
          <w:tcPr>
            <w:tcW w:type="dxa" w:w="5556"/>
          </w:tcPr>
          <w:p>
            <w:r/>
            <w:r>
              <w:rPr>
                <w:sz w:val="17"/>
              </w:rPr>
              <w:t>Glenveagh, private builders; second-hand market; LDA direct delivery</w:t>
            </w:r>
          </w:p>
        </w:tc>
      </w:tr>
      <w:tr>
        <w:tc>
          <w:tcPr>
            <w:tcW w:type="dxa" w:w="794"/>
          </w:tcPr>
          <w:p>
            <w:r/>
            <w:r>
              <w:rPr>
                <w:sz w:val="17"/>
              </w:rPr>
              <w:t>PD-4</w:t>
            </w:r>
          </w:p>
        </w:tc>
        <w:tc>
          <w:tcPr>
            <w:tcW w:type="dxa" w:w="2608"/>
          </w:tcPr>
          <w:p>
            <w:r/>
            <w:r>
              <w:rPr>
                <w:sz w:val="17"/>
              </w:rPr>
              <w:t>Perché non è una commodity</w:t>
            </w:r>
          </w:p>
        </w:tc>
        <w:tc>
          <w:tcPr>
            <w:tcW w:type="dxa" w:w="680"/>
          </w:tcPr>
          <w:p>
            <w:r/>
            <w:r>
              <w:rPr>
                <w:sz w:val="17"/>
              </w:rPr>
              <w:t>✗</w:t>
            </w:r>
          </w:p>
        </w:tc>
        <w:tc>
          <w:tcPr>
            <w:tcW w:type="dxa" w:w="5556"/>
          </w:tcPr>
          <w:p>
            <w:r/>
            <w:r>
              <w:rPr>
                <w:sz w:val="17"/>
              </w:rPr>
              <w:t>Product largely undifferentiated; edge is land and scale, not the home</w:t>
            </w:r>
          </w:p>
        </w:tc>
      </w:tr>
      <w:tr>
        <w:tc>
          <w:tcPr>
            <w:tcW w:type="dxa" w:w="794"/>
          </w:tcPr>
          <w:p>
            <w:r/>
            <w:r>
              <w:rPr>
                <w:sz w:val="17"/>
              </w:rPr>
              <w:t>PD-5</w:t>
            </w:r>
          </w:p>
        </w:tc>
        <w:tc>
          <w:tcPr>
            <w:tcW w:type="dxa" w:w="2608"/>
          </w:tcPr>
          <w:p>
            <w:r/>
            <w:r>
              <w:rPr>
                <w:sz w:val="17"/>
              </w:rPr>
              <w:t>Poteri (beneficio + barriera)</w:t>
            </w:r>
          </w:p>
        </w:tc>
        <w:tc>
          <w:tcPr>
            <w:tcW w:type="dxa" w:w="680"/>
          </w:tcPr>
          <w:p>
            <w:r/>
            <w:r>
              <w:rPr>
                <w:sz w:val="17"/>
              </w:rPr>
              <w:t>✓</w:t>
            </w:r>
          </w:p>
        </w:tc>
        <w:tc>
          <w:tcPr>
            <w:tcW w:type="dxa" w:w="5556"/>
          </w:tcPr>
          <w:p>
            <w:r/>
            <w:r>
              <w:rPr>
                <w:sz w:val="17"/>
              </w:rPr>
              <w:t>Scale economies (weak) analysed; land bank as a quasi-resource (Step 6)</w:t>
            </w:r>
          </w:p>
        </w:tc>
      </w:tr>
      <w:tr>
        <w:tc>
          <w:tcPr>
            <w:tcW w:type="dxa" w:w="794"/>
          </w:tcPr>
          <w:p>
            <w:r/>
            <w:r>
              <w:rPr>
                <w:sz w:val="17"/>
              </w:rPr>
              <w:t>PD-6</w:t>
            </w:r>
          </w:p>
        </w:tc>
        <w:tc>
          <w:tcPr>
            <w:tcW w:type="dxa" w:w="2608"/>
          </w:tcPr>
          <w:p>
            <w:r/>
            <w:r>
              <w:rPr>
                <w:sz w:val="17"/>
              </w:rPr>
              <w:t>Potere principale</w:t>
            </w:r>
          </w:p>
        </w:tc>
        <w:tc>
          <w:tcPr>
            <w:tcW w:type="dxa" w:w="680"/>
          </w:tcPr>
          <w:p>
            <w:r/>
            <w:r>
              <w:rPr>
                <w:sz w:val="17"/>
              </w:rPr>
              <w:t>✓</w:t>
            </w:r>
          </w:p>
        </w:tc>
        <w:tc>
          <w:tcPr>
            <w:tcW w:type="dxa" w:w="5556"/>
          </w:tcPr>
          <w:p>
            <w:r/>
            <w:r>
              <w:rPr>
                <w:sz w:val="17"/>
              </w:rPr>
              <w:t>Planned low-cost land bank + scale procurement</w:t>
            </w:r>
          </w:p>
        </w:tc>
      </w:tr>
      <w:tr>
        <w:tc>
          <w:tcPr>
            <w:tcW w:type="dxa" w:w="794"/>
          </w:tcPr>
          <w:p>
            <w:r/>
            <w:r>
              <w:rPr>
                <w:sz w:val="17"/>
              </w:rPr>
              <w:t>PD-7</w:t>
            </w:r>
          </w:p>
        </w:tc>
        <w:tc>
          <w:tcPr>
            <w:tcW w:type="dxa" w:w="2608"/>
          </w:tcPr>
          <w:p>
            <w:r/>
            <w:r>
              <w:rPr>
                <w:sz w:val="17"/>
              </w:rPr>
              <w:t>Costi e pricing vs competitor</w:t>
            </w:r>
          </w:p>
        </w:tc>
        <w:tc>
          <w:tcPr>
            <w:tcW w:type="dxa" w:w="680"/>
          </w:tcPr>
          <w:p>
            <w:r/>
            <w:r>
              <w:rPr>
                <w:sz w:val="17"/>
              </w:rPr>
              <w:t>?</w:t>
            </w:r>
          </w:p>
        </w:tc>
        <w:tc>
          <w:tcPr>
            <w:tcW w:type="dxa" w:w="5556"/>
          </w:tcPr>
          <w:p>
            <w:r/>
            <w:r>
              <w:rPr>
                <w:sz w:val="17"/>
              </w:rPr>
              <w:t>Glenveagh unit costs/margins not compared in detail</w:t>
            </w:r>
          </w:p>
        </w:tc>
      </w:tr>
      <w:tr>
        <w:tc>
          <w:tcPr>
            <w:tcW w:type="dxa" w:w="794"/>
          </w:tcPr>
          <w:p>
            <w:r/>
            <w:r>
              <w:rPr>
                <w:sz w:val="17"/>
              </w:rPr>
              <w:t>PD-8</w:t>
            </w:r>
          </w:p>
        </w:tc>
        <w:tc>
          <w:tcPr>
            <w:tcW w:type="dxa" w:w="2608"/>
          </w:tcPr>
          <w:p>
            <w:r/>
            <w:r>
              <w:rPr>
                <w:sz w:val="17"/>
              </w:rPr>
              <w:t>Analisi granulare del fossato</w:t>
            </w:r>
          </w:p>
        </w:tc>
        <w:tc>
          <w:tcPr>
            <w:tcW w:type="dxa" w:w="680"/>
          </w:tcPr>
          <w:p>
            <w:r/>
            <w:r>
              <w:rPr>
                <w:sz w:val="17"/>
              </w:rPr>
              <w:t>✓</w:t>
            </w:r>
          </w:p>
        </w:tc>
        <w:tc>
          <w:tcPr>
            <w:tcW w:type="dxa" w:w="5556"/>
          </w:tcPr>
          <w:p>
            <w:r/>
            <w:r>
              <w:rPr>
                <w:sz w:val="17"/>
              </w:rPr>
              <w:t>Narrow moat, CAP 3–7y, contrary evidence (replicable, policy-dependent)</w:t>
            </w:r>
          </w:p>
        </w:tc>
      </w:tr>
      <w:tr>
        <w:tc>
          <w:tcPr>
            <w:tcW w:type="dxa" w:w="794"/>
          </w:tcPr>
          <w:p>
            <w:r/>
            <w:r>
              <w:rPr>
                <w:sz w:val="17"/>
              </w:rPr>
              <w:t>PD-9</w:t>
            </w:r>
          </w:p>
        </w:tc>
        <w:tc>
          <w:tcPr>
            <w:tcW w:type="dxa" w:w="2608"/>
          </w:tcPr>
          <w:p>
            <w:r/>
            <w:r>
              <w:rPr>
                <w:sz w:val="17"/>
              </w:rPr>
              <w:t>Multi-business / corporate strategy</w:t>
            </w:r>
          </w:p>
        </w:tc>
        <w:tc>
          <w:tcPr>
            <w:tcW w:type="dxa" w:w="680"/>
          </w:tcPr>
          <w:p>
            <w:r/>
            <w:r>
              <w:rPr>
                <w:sz w:val="17"/>
              </w:rPr>
              <w:t>N/A</w:t>
            </w:r>
          </w:p>
        </w:tc>
        <w:tc>
          <w:tcPr>
            <w:tcW w:type="dxa" w:w="5556"/>
          </w:tcPr>
          <w:p>
            <w:r/>
            <w:r>
              <w:rPr>
                <w:sz w:val="17"/>
              </w:rPr>
              <w:t>Single-segment business</w:t>
            </w:r>
          </w:p>
        </w:tc>
      </w:tr>
    </w:tbl>
    <w:p/>
    <w:p>
      <w:pPr>
        <w:pStyle w:val="Heading2"/>
      </w:pPr>
      <w:r>
        <w:t>Check dei Poteri (7)</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POW-1</w:t>
            </w:r>
          </w:p>
        </w:tc>
        <w:tc>
          <w:tcPr>
            <w:tcW w:type="dxa" w:w="2608"/>
          </w:tcPr>
          <w:p>
            <w:r/>
            <w:r>
              <w:rPr>
                <w:sz w:val="17"/>
              </w:rPr>
              <w:t>Risorse Uniche</w:t>
            </w:r>
          </w:p>
        </w:tc>
        <w:tc>
          <w:tcPr>
            <w:tcW w:type="dxa" w:w="680"/>
          </w:tcPr>
          <w:p>
            <w:r/>
            <w:r>
              <w:rPr>
                <w:sz w:val="17"/>
              </w:rPr>
              <w:t>✗</w:t>
            </w:r>
          </w:p>
        </w:tc>
        <w:tc>
          <w:tcPr>
            <w:tcW w:type="dxa" w:w="5556"/>
          </w:tcPr>
          <w:p>
            <w:r/>
            <w:r>
              <w:rPr>
                <w:sz w:val="17"/>
              </w:rPr>
              <w:t>Land bank valuable but replicable over time; not exclusive</w:t>
            </w:r>
          </w:p>
        </w:tc>
      </w:tr>
      <w:tr>
        <w:tc>
          <w:tcPr>
            <w:tcW w:type="dxa" w:w="794"/>
          </w:tcPr>
          <w:p>
            <w:r/>
            <w:r>
              <w:rPr>
                <w:sz w:val="17"/>
              </w:rPr>
              <w:t>POW-2</w:t>
            </w:r>
          </w:p>
        </w:tc>
        <w:tc>
          <w:tcPr>
            <w:tcW w:type="dxa" w:w="2608"/>
          </w:tcPr>
          <w:p>
            <w:r/>
            <w:r>
              <w:rPr>
                <w:sz w:val="17"/>
              </w:rPr>
              <w:t>Counter-Positioning</w:t>
            </w:r>
          </w:p>
        </w:tc>
        <w:tc>
          <w:tcPr>
            <w:tcW w:type="dxa" w:w="680"/>
          </w:tcPr>
          <w:p>
            <w:r/>
            <w:r>
              <w:rPr>
                <w:sz w:val="17"/>
              </w:rPr>
              <w:t>✗</w:t>
            </w:r>
          </w:p>
        </w:tc>
        <w:tc>
          <w:tcPr>
            <w:tcW w:type="dxa" w:w="5556"/>
          </w:tcPr>
          <w:p>
            <w:r/>
            <w:r>
              <w:rPr>
                <w:sz w:val="17"/>
              </w:rPr>
              <w:t>None identified</w:t>
            </w:r>
          </w:p>
        </w:tc>
      </w:tr>
      <w:tr>
        <w:tc>
          <w:tcPr>
            <w:tcW w:type="dxa" w:w="794"/>
          </w:tcPr>
          <w:p>
            <w:r/>
            <w:r>
              <w:rPr>
                <w:sz w:val="17"/>
              </w:rPr>
              <w:t>POW-3</w:t>
            </w:r>
          </w:p>
        </w:tc>
        <w:tc>
          <w:tcPr>
            <w:tcW w:type="dxa" w:w="2608"/>
          </w:tcPr>
          <w:p>
            <w:r/>
            <w:r>
              <w:rPr>
                <w:sz w:val="17"/>
              </w:rPr>
              <w:t>Switching Cost</w:t>
            </w:r>
          </w:p>
        </w:tc>
        <w:tc>
          <w:tcPr>
            <w:tcW w:type="dxa" w:w="680"/>
          </w:tcPr>
          <w:p>
            <w:r/>
            <w:r>
              <w:rPr>
                <w:sz w:val="17"/>
              </w:rPr>
              <w:t>✗</w:t>
            </w:r>
          </w:p>
        </w:tc>
        <w:tc>
          <w:tcPr>
            <w:tcW w:type="dxa" w:w="5556"/>
          </w:tcPr>
          <w:p>
            <w:r/>
            <w:r>
              <w:rPr>
                <w:sz w:val="17"/>
              </w:rPr>
              <w:t>One-off purchase; no switching cost</w:t>
            </w:r>
          </w:p>
        </w:tc>
      </w:tr>
      <w:tr>
        <w:tc>
          <w:tcPr>
            <w:tcW w:type="dxa" w:w="794"/>
          </w:tcPr>
          <w:p>
            <w:r/>
            <w:r>
              <w:rPr>
                <w:sz w:val="17"/>
              </w:rPr>
              <w:t>POW-4</w:t>
            </w:r>
          </w:p>
        </w:tc>
        <w:tc>
          <w:tcPr>
            <w:tcW w:type="dxa" w:w="2608"/>
          </w:tcPr>
          <w:p>
            <w:r/>
            <w:r>
              <w:rPr>
                <w:sz w:val="17"/>
              </w:rPr>
              <w:t>Economie di Network</w:t>
            </w:r>
          </w:p>
        </w:tc>
        <w:tc>
          <w:tcPr>
            <w:tcW w:type="dxa" w:w="680"/>
          </w:tcPr>
          <w:p>
            <w:r/>
            <w:r>
              <w:rPr>
                <w:sz w:val="17"/>
              </w:rPr>
              <w:t>✗</w:t>
            </w:r>
          </w:p>
        </w:tc>
        <w:tc>
          <w:tcPr>
            <w:tcW w:type="dxa" w:w="5556"/>
          </w:tcPr>
          <w:p>
            <w:r/>
            <w:r>
              <w:rPr>
                <w:sz w:val="17"/>
              </w:rPr>
              <w:t>None</w:t>
            </w:r>
          </w:p>
        </w:tc>
      </w:tr>
      <w:tr>
        <w:tc>
          <w:tcPr>
            <w:tcW w:type="dxa" w:w="794"/>
          </w:tcPr>
          <w:p>
            <w:r/>
            <w:r>
              <w:rPr>
                <w:sz w:val="17"/>
              </w:rPr>
              <w:t>POW-5</w:t>
            </w:r>
          </w:p>
        </w:tc>
        <w:tc>
          <w:tcPr>
            <w:tcW w:type="dxa" w:w="2608"/>
          </w:tcPr>
          <w:p>
            <w:r/>
            <w:r>
              <w:rPr>
                <w:sz w:val="17"/>
              </w:rPr>
              <w:t>Economie di Scala</w:t>
            </w:r>
          </w:p>
        </w:tc>
        <w:tc>
          <w:tcPr>
            <w:tcW w:type="dxa" w:w="680"/>
          </w:tcPr>
          <w:p>
            <w:r/>
            <w:r>
              <w:rPr>
                <w:sz w:val="17"/>
              </w:rPr>
              <w:t>✓</w:t>
            </w:r>
          </w:p>
        </w:tc>
        <w:tc>
          <w:tcPr>
            <w:tcW w:type="dxa" w:w="5556"/>
          </w:tcPr>
          <w:p>
            <w:r/>
            <w:r>
              <w:rPr>
                <w:sz w:val="17"/>
              </w:rPr>
              <w:t>Opex +7% vs revenue +60%; multi-site procurement; rivals sub-scale (weak barrier)</w:t>
            </w:r>
          </w:p>
        </w:tc>
      </w:tr>
      <w:tr>
        <w:tc>
          <w:tcPr>
            <w:tcW w:type="dxa" w:w="794"/>
          </w:tcPr>
          <w:p>
            <w:r/>
            <w:r>
              <w:rPr>
                <w:sz w:val="17"/>
              </w:rPr>
              <w:t>POW-6</w:t>
            </w:r>
          </w:p>
        </w:tc>
        <w:tc>
          <w:tcPr>
            <w:tcW w:type="dxa" w:w="2608"/>
          </w:tcPr>
          <w:p>
            <w:r/>
            <w:r>
              <w:rPr>
                <w:sz w:val="17"/>
              </w:rPr>
              <w:t>Potere di Branding</w:t>
            </w:r>
          </w:p>
        </w:tc>
        <w:tc>
          <w:tcPr>
            <w:tcW w:type="dxa" w:w="680"/>
          </w:tcPr>
          <w:p>
            <w:r/>
            <w:r>
              <w:rPr>
                <w:sz w:val="17"/>
              </w:rPr>
              <w:t>✗</w:t>
            </w:r>
          </w:p>
        </w:tc>
        <w:tc>
          <w:tcPr>
            <w:tcW w:type="dxa" w:w="5556"/>
          </w:tcPr>
          <w:p>
            <w:r/>
            <w:r>
              <w:rPr>
                <w:sz w:val="17"/>
              </w:rPr>
              <w:t>No pricing premium from the brand</w:t>
            </w:r>
          </w:p>
        </w:tc>
      </w:tr>
      <w:tr>
        <w:tc>
          <w:tcPr>
            <w:tcW w:type="dxa" w:w="794"/>
          </w:tcPr>
          <w:p>
            <w:r/>
            <w:r>
              <w:rPr>
                <w:sz w:val="17"/>
              </w:rPr>
              <w:t>POW-7</w:t>
            </w:r>
          </w:p>
        </w:tc>
        <w:tc>
          <w:tcPr>
            <w:tcW w:type="dxa" w:w="2608"/>
          </w:tcPr>
          <w:p>
            <w:r/>
            <w:r>
              <w:rPr>
                <w:sz w:val="17"/>
              </w:rPr>
              <w:t>Potere di Processi</w:t>
            </w:r>
          </w:p>
        </w:tc>
        <w:tc>
          <w:tcPr>
            <w:tcW w:type="dxa" w:w="680"/>
          </w:tcPr>
          <w:p>
            <w:r/>
            <w:r>
              <w:rPr>
                <w:sz w:val="17"/>
              </w:rPr>
              <w:t>✗</w:t>
            </w:r>
          </w:p>
        </w:tc>
        <w:tc>
          <w:tcPr>
            <w:tcW w:type="dxa" w:w="5556"/>
          </w:tcPr>
          <w:p>
            <w:r/>
            <w:r>
              <w:rPr>
                <w:sz w:val="17"/>
              </w:rPr>
              <w:t>Standardisation/digital tools not proven as an exclusive advantage</w:t>
            </w:r>
          </w:p>
        </w:tc>
      </w:tr>
    </w:tbl>
    <w:p/>
    <w:p>
      <w:pPr>
        <w:pStyle w:val="Heading2"/>
      </w:pPr>
      <w:r>
        <w:t>Valutazione (11)</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VAL-1</w:t>
            </w:r>
          </w:p>
        </w:tc>
        <w:tc>
          <w:tcPr>
            <w:tcW w:type="dxa" w:w="2608"/>
          </w:tcPr>
          <w:p>
            <w:r/>
            <w:r>
              <w:rPr>
                <w:sz w:val="17"/>
              </w:rPr>
              <w:t>TAM</w:t>
            </w:r>
          </w:p>
        </w:tc>
        <w:tc>
          <w:tcPr>
            <w:tcW w:type="dxa" w:w="680"/>
          </w:tcPr>
          <w:p>
            <w:r/>
            <w:r>
              <w:rPr>
                <w:sz w:val="17"/>
              </w:rPr>
              <w:t>✓</w:t>
            </w:r>
          </w:p>
        </w:tc>
        <w:tc>
          <w:tcPr>
            <w:tcW w:type="dxa" w:w="5556"/>
          </w:tcPr>
          <w:p>
            <w:r/>
            <w:r>
              <w:rPr>
                <w:sz w:val="17"/>
              </w:rPr>
              <w:t>c.€16bn/yr (40k units × €400k), method stated (Step 1)</w:t>
            </w:r>
          </w:p>
        </w:tc>
      </w:tr>
      <w:tr>
        <w:tc>
          <w:tcPr>
            <w:tcW w:type="dxa" w:w="794"/>
          </w:tcPr>
          <w:p>
            <w:r/>
            <w:r>
              <w:rPr>
                <w:sz w:val="17"/>
              </w:rPr>
              <w:t>VAL-2</w:t>
            </w:r>
          </w:p>
        </w:tc>
        <w:tc>
          <w:tcPr>
            <w:tcW w:type="dxa" w:w="2608"/>
          </w:tcPr>
          <w:p>
            <w:r/>
            <w:r>
              <w:rPr>
                <w:sz w:val="17"/>
              </w:rPr>
              <w:t>Market share</w:t>
            </w:r>
          </w:p>
        </w:tc>
        <w:tc>
          <w:tcPr>
            <w:tcW w:type="dxa" w:w="680"/>
          </w:tcPr>
          <w:p>
            <w:r/>
            <w:r>
              <w:rPr>
                <w:sz w:val="17"/>
              </w:rPr>
              <w:t>✓</w:t>
            </w:r>
          </w:p>
        </w:tc>
        <w:tc>
          <w:tcPr>
            <w:tcW w:type="dxa" w:w="5556"/>
          </w:tcPr>
          <w:p>
            <w:r/>
            <w:r>
              <w:rPr>
                <w:sz w:val="17"/>
              </w:rPr>
              <w:t>c.7% of units (2,800 / 40,000)</w:t>
            </w:r>
          </w:p>
        </w:tc>
      </w:tr>
      <w:tr>
        <w:tc>
          <w:tcPr>
            <w:tcW w:type="dxa" w:w="794"/>
          </w:tcPr>
          <w:p>
            <w:r/>
            <w:r>
              <w:rPr>
                <w:sz w:val="17"/>
              </w:rPr>
              <w:t>VAL-3</w:t>
            </w:r>
          </w:p>
        </w:tc>
        <w:tc>
          <w:tcPr>
            <w:tcW w:type="dxa" w:w="2608"/>
          </w:tcPr>
          <w:p>
            <w:r/>
            <w:r>
              <w:rPr>
                <w:sz w:val="17"/>
              </w:rPr>
              <w:t>Implicazioni delle ipotesi</w:t>
            </w:r>
          </w:p>
        </w:tc>
        <w:tc>
          <w:tcPr>
            <w:tcW w:type="dxa" w:w="680"/>
          </w:tcPr>
          <w:p>
            <w:r/>
            <w:r>
              <w:rPr>
                <w:sz w:val="17"/>
              </w:rPr>
              <w:t>✓</w:t>
            </w:r>
          </w:p>
        </w:tc>
        <w:tc>
          <w:tcPr>
            <w:tcW w:type="dxa" w:w="5556"/>
          </w:tcPr>
          <w:p>
            <w:r/>
            <w:r>
              <w:rPr>
                <w:sz w:val="17"/>
              </w:rPr>
              <w:t>Base 2033 ≈ 4,000 units ≈ 8% of a 50k market</w:t>
            </w:r>
          </w:p>
        </w:tc>
      </w:tr>
      <w:tr>
        <w:tc>
          <w:tcPr>
            <w:tcW w:type="dxa" w:w="794"/>
          </w:tcPr>
          <w:p>
            <w:r/>
            <w:r>
              <w:rPr>
                <w:sz w:val="17"/>
              </w:rPr>
              <w:t>VAL-4</w:t>
            </w:r>
          </w:p>
        </w:tc>
        <w:tc>
          <w:tcPr>
            <w:tcW w:type="dxa" w:w="2608"/>
          </w:tcPr>
          <w:p>
            <w:r/>
            <w:r>
              <w:rPr>
                <w:sz w:val="17"/>
              </w:rPr>
              <w:t>Base rate crescita</w:t>
            </w:r>
          </w:p>
        </w:tc>
        <w:tc>
          <w:tcPr>
            <w:tcW w:type="dxa" w:w="680"/>
          </w:tcPr>
          <w:p>
            <w:r/>
            <w:r>
              <w:rPr>
                <w:sz w:val="17"/>
              </w:rPr>
              <w:t>✓</w:t>
            </w:r>
          </w:p>
        </w:tc>
        <w:tc>
          <w:tcPr>
            <w:tcW w:type="dxa" w:w="5556"/>
          </w:tcPr>
          <w:p>
            <w:r/>
            <w:r>
              <w:rPr>
                <w:sz w:val="17"/>
              </w:rPr>
              <w:t>Growth fades 15.7% → 3%; margin contracts (Step 6)</w:t>
            </w:r>
          </w:p>
        </w:tc>
      </w:tr>
      <w:tr>
        <w:tc>
          <w:tcPr>
            <w:tcW w:type="dxa" w:w="794"/>
          </w:tcPr>
          <w:p>
            <w:r/>
            <w:r>
              <w:rPr>
                <w:sz w:val="17"/>
              </w:rPr>
              <w:t>VAL-5</w:t>
            </w:r>
          </w:p>
        </w:tc>
        <w:tc>
          <w:tcPr>
            <w:tcW w:type="dxa" w:w="2608"/>
          </w:tcPr>
          <w:p>
            <w:r/>
            <w:r>
              <w:rPr>
                <w:sz w:val="17"/>
              </w:rPr>
              <w:t>Crescita organica</w:t>
            </w:r>
          </w:p>
        </w:tc>
        <w:tc>
          <w:tcPr>
            <w:tcW w:type="dxa" w:w="680"/>
          </w:tcPr>
          <w:p>
            <w:r/>
            <w:r>
              <w:rPr>
                <w:sz w:val="17"/>
              </w:rPr>
              <w:t>✓</w:t>
            </w:r>
          </w:p>
        </w:tc>
        <w:tc>
          <w:tcPr>
            <w:tcW w:type="dxa" w:w="5556"/>
          </w:tcPr>
          <w:p>
            <w:r/>
            <w:r>
              <w:rPr>
                <w:sz w:val="17"/>
              </w:rPr>
              <w:t>100% organic, no M&amp;A</w:t>
            </w:r>
          </w:p>
        </w:tc>
      </w:tr>
      <w:tr>
        <w:tc>
          <w:tcPr>
            <w:tcW w:type="dxa" w:w="794"/>
          </w:tcPr>
          <w:p>
            <w:r/>
            <w:r>
              <w:rPr>
                <w:sz w:val="17"/>
              </w:rPr>
              <w:t>VAL-6</w:t>
            </w:r>
          </w:p>
        </w:tc>
        <w:tc>
          <w:tcPr>
            <w:tcW w:type="dxa" w:w="2608"/>
          </w:tcPr>
          <w:p>
            <w:r/>
            <w:r>
              <w:rPr>
                <w:sz w:val="17"/>
              </w:rPr>
              <w:t>Perché i ricavi cresceranno / cosa li fa scendere</w:t>
            </w:r>
          </w:p>
        </w:tc>
        <w:tc>
          <w:tcPr>
            <w:tcW w:type="dxa" w:w="680"/>
          </w:tcPr>
          <w:p>
            <w:r/>
            <w:r>
              <w:rPr>
                <w:sz w:val="17"/>
              </w:rPr>
              <w:t>✓</w:t>
            </w:r>
          </w:p>
        </w:tc>
        <w:tc>
          <w:tcPr>
            <w:tcW w:type="dxa" w:w="5556"/>
          </w:tcPr>
          <w:p>
            <w:r/>
            <w:r>
              <w:rPr>
                <w:sz w:val="17"/>
              </w:rPr>
              <w:t>Undersupply + state demand; rates/scheme withdrawal = downside</w:t>
            </w:r>
          </w:p>
        </w:tc>
      </w:tr>
      <w:tr>
        <w:tc>
          <w:tcPr>
            <w:tcW w:type="dxa" w:w="794"/>
          </w:tcPr>
          <w:p>
            <w:r/>
            <w:r>
              <w:rPr>
                <w:sz w:val="17"/>
              </w:rPr>
              <w:t>VAL-7</w:t>
            </w:r>
          </w:p>
        </w:tc>
        <w:tc>
          <w:tcPr>
            <w:tcW w:type="dxa" w:w="2608"/>
          </w:tcPr>
          <w:p>
            <w:r/>
            <w:r>
              <w:rPr>
                <w:sz w:val="17"/>
              </w:rPr>
              <w:t>Costi in dettaglio e evoluzione</w:t>
            </w:r>
          </w:p>
        </w:tc>
        <w:tc>
          <w:tcPr>
            <w:tcW w:type="dxa" w:w="680"/>
          </w:tcPr>
          <w:p>
            <w:r/>
            <w:r>
              <w:rPr>
                <w:sz w:val="17"/>
              </w:rPr>
              <w:t>✓</w:t>
            </w:r>
          </w:p>
        </w:tc>
        <w:tc>
          <w:tcPr>
            <w:tcW w:type="dxa" w:w="5556"/>
          </w:tcPr>
          <w:p>
            <w:r/>
            <w:r>
              <w:rPr>
                <w:sz w:val="17"/>
              </w:rPr>
              <w:t>Build inflation 2.5%, transport costs, opex leverage</w:t>
            </w:r>
          </w:p>
        </w:tc>
      </w:tr>
      <w:tr>
        <w:tc>
          <w:tcPr>
            <w:tcW w:type="dxa" w:w="794"/>
          </w:tcPr>
          <w:p>
            <w:r/>
            <w:r>
              <w:rPr>
                <w:sz w:val="17"/>
              </w:rPr>
              <w:t>VAL-8</w:t>
            </w:r>
          </w:p>
        </w:tc>
        <w:tc>
          <w:tcPr>
            <w:tcW w:type="dxa" w:w="2608"/>
          </w:tcPr>
          <w:p>
            <w:r/>
            <w:r>
              <w:rPr>
                <w:sz w:val="17"/>
              </w:rPr>
              <w:t>Efficienza circolante/capex</w:t>
            </w:r>
          </w:p>
        </w:tc>
        <w:tc>
          <w:tcPr>
            <w:tcW w:type="dxa" w:w="680"/>
          </w:tcPr>
          <w:p>
            <w:r/>
            <w:r>
              <w:rPr>
                <w:sz w:val="17"/>
              </w:rPr>
              <w:t>✓</w:t>
            </w:r>
          </w:p>
        </w:tc>
        <w:tc>
          <w:tcPr>
            <w:tcW w:type="dxa" w:w="5556"/>
          </w:tcPr>
          <w:p>
            <w:r/>
            <w:r>
              <w:rPr>
                <w:sz w:val="17"/>
              </w:rPr>
              <w:t>Turnover 1.0 → 1.1× as land investment ends</w:t>
            </w:r>
          </w:p>
        </w:tc>
      </w:tr>
      <w:tr>
        <w:tc>
          <w:tcPr>
            <w:tcW w:type="dxa" w:w="794"/>
          </w:tcPr>
          <w:p>
            <w:r/>
            <w:r>
              <w:rPr>
                <w:sz w:val="17"/>
              </w:rPr>
              <w:t>VAL-9</w:t>
            </w:r>
          </w:p>
        </w:tc>
        <w:tc>
          <w:tcPr>
            <w:tcW w:type="dxa" w:w="2608"/>
          </w:tcPr>
          <w:p>
            <w:r/>
            <w:r>
              <w:rPr>
                <w:sz w:val="17"/>
              </w:rPr>
              <w:t>Stima valore intrinseco</w:t>
            </w:r>
          </w:p>
        </w:tc>
        <w:tc>
          <w:tcPr>
            <w:tcW w:type="dxa" w:w="680"/>
          </w:tcPr>
          <w:p>
            <w:r/>
            <w:r>
              <w:rPr>
                <w:sz w:val="17"/>
              </w:rPr>
              <w:t>✓</w:t>
            </w:r>
          </w:p>
        </w:tc>
        <w:tc>
          <w:tcPr>
            <w:tcW w:type="dxa" w:w="5556"/>
          </w:tcPr>
          <w:p>
            <w:r/>
            <w:r>
              <w:rPr>
                <w:sz w:val="17"/>
              </w:rPr>
              <w:t>€2.21 / €3.62 / €4.77; prob-weighted €3.56</w:t>
            </w:r>
          </w:p>
        </w:tc>
      </w:tr>
      <w:tr>
        <w:tc>
          <w:tcPr>
            <w:tcW w:type="dxa" w:w="794"/>
          </w:tcPr>
          <w:p>
            <w:r/>
            <w:r>
              <w:rPr>
                <w:sz w:val="17"/>
              </w:rPr>
              <w:t>VAL-10</w:t>
            </w:r>
          </w:p>
        </w:tc>
        <w:tc>
          <w:tcPr>
            <w:tcW w:type="dxa" w:w="2608"/>
          </w:tcPr>
          <w:p>
            <w:r/>
            <w:r>
              <w:rPr>
                <w:sz w:val="17"/>
              </w:rPr>
              <w:t>Errori comuni evitati</w:t>
            </w:r>
          </w:p>
        </w:tc>
        <w:tc>
          <w:tcPr>
            <w:tcW w:type="dxa" w:w="680"/>
          </w:tcPr>
          <w:p>
            <w:r/>
            <w:r>
              <w:rPr>
                <w:sz w:val="17"/>
              </w:rPr>
              <w:t>✓</w:t>
            </w:r>
          </w:p>
        </w:tc>
        <w:tc>
          <w:tcPr>
            <w:tcW w:type="dxa" w:w="5556"/>
          </w:tcPr>
          <w:p>
            <w:r/>
            <w:r>
              <w:rPr>
                <w:sz w:val="17"/>
              </w:rPr>
              <w:t>TV 68% of EV, g &lt; WACC, TV discounted; exit-multiple gap flagged</w:t>
            </w:r>
          </w:p>
        </w:tc>
      </w:tr>
      <w:tr>
        <w:tc>
          <w:tcPr>
            <w:tcW w:type="dxa" w:w="794"/>
          </w:tcPr>
          <w:p>
            <w:r/>
            <w:r>
              <w:rPr>
                <w:sz w:val="17"/>
              </w:rPr>
              <w:t>VAL-11</w:t>
            </w:r>
          </w:p>
        </w:tc>
        <w:tc>
          <w:tcPr>
            <w:tcW w:type="dxa" w:w="2608"/>
          </w:tcPr>
          <w:p>
            <w:r/>
            <w:r>
              <w:rPr>
                <w:sz w:val="17"/>
              </w:rPr>
              <w:t>Stima possibile/plausibile/probabile</w:t>
            </w:r>
          </w:p>
        </w:tc>
        <w:tc>
          <w:tcPr>
            <w:tcW w:type="dxa" w:w="680"/>
          </w:tcPr>
          <w:p>
            <w:r/>
            <w:r>
              <w:rPr>
                <w:sz w:val="17"/>
              </w:rPr>
              <w:t>✓</w:t>
            </w:r>
          </w:p>
        </w:tc>
        <w:tc>
          <w:tcPr>
            <w:tcW w:type="dxa" w:w="5556"/>
          </w:tcPr>
          <w:p>
            <w:r/>
            <w:r>
              <w:rPr>
                <w:sz w:val="17"/>
              </w:rPr>
              <w:t>Plausible given the 18k land bank; probability limited by the cycle (cross-checks €2.5–3.1)</w:t>
            </w:r>
          </w:p>
        </w:tc>
      </w:tr>
    </w:tbl>
    <w:p/>
    <w:p>
      <w:pPr>
        <w:pStyle w:val="Heading2"/>
      </w:pPr>
      <w:r>
        <w:t>Opzionalità (5)</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OPT-1</w:t>
            </w:r>
          </w:p>
        </w:tc>
        <w:tc>
          <w:tcPr>
            <w:tcW w:type="dxa" w:w="2608"/>
          </w:tcPr>
          <w:p>
            <w:r/>
            <w:r>
              <w:rPr>
                <w:sz w:val="17"/>
              </w:rPr>
              <w:t>Estensione verso nuovi business/geografie</w:t>
            </w:r>
          </w:p>
        </w:tc>
        <w:tc>
          <w:tcPr>
            <w:tcW w:type="dxa" w:w="680"/>
          </w:tcPr>
          <w:p>
            <w:r/>
            <w:r>
              <w:rPr>
                <w:sz w:val="17"/>
              </w:rPr>
              <w:t>✓</w:t>
            </w:r>
          </w:p>
        </w:tc>
        <w:tc>
          <w:tcPr>
            <w:tcW w:type="dxa" w:w="5556"/>
          </w:tcPr>
          <w:p>
            <w:r/>
            <w:r>
              <w:rPr>
                <w:sz w:val="17"/>
              </w:rPr>
              <w:t>Urban apartments, cost-rental, institutional PRS after the 2026 rent changes</w:t>
            </w:r>
          </w:p>
        </w:tc>
      </w:tr>
      <w:tr>
        <w:tc>
          <w:tcPr>
            <w:tcW w:type="dxa" w:w="794"/>
          </w:tcPr>
          <w:p>
            <w:r/>
            <w:r>
              <w:rPr>
                <w:sz w:val="17"/>
              </w:rPr>
              <w:t>OPT-2</w:t>
            </w:r>
          </w:p>
        </w:tc>
        <w:tc>
          <w:tcPr>
            <w:tcW w:type="dxa" w:w="2608"/>
          </w:tcPr>
          <w:p>
            <w:r/>
            <w:r>
              <w:rPr>
                <w:sz w:val="17"/>
              </w:rPr>
              <w:t>Economics di prodotti simili</w:t>
            </w:r>
          </w:p>
        </w:tc>
        <w:tc>
          <w:tcPr>
            <w:tcW w:type="dxa" w:w="680"/>
          </w:tcPr>
          <w:p>
            <w:r/>
            <w:r>
              <w:rPr>
                <w:sz w:val="17"/>
              </w:rPr>
              <w:t>?</w:t>
            </w:r>
          </w:p>
        </w:tc>
        <w:tc>
          <w:tcPr>
            <w:tcW w:type="dxa" w:w="5556"/>
          </w:tcPr>
          <w:p>
            <w:r/>
            <w:r>
              <w:rPr>
                <w:sz w:val="17"/>
              </w:rPr>
              <w:t>Not researched</w:t>
            </w:r>
          </w:p>
        </w:tc>
      </w:tr>
      <w:tr>
        <w:tc>
          <w:tcPr>
            <w:tcW w:type="dxa" w:w="794"/>
          </w:tcPr>
          <w:p>
            <w:r/>
            <w:r>
              <w:rPr>
                <w:sz w:val="17"/>
              </w:rPr>
              <w:t>OPT-3</w:t>
            </w:r>
          </w:p>
        </w:tc>
        <w:tc>
          <w:tcPr>
            <w:tcW w:type="dxa" w:w="2608"/>
          </w:tcPr>
          <w:p>
            <w:r/>
            <w:r>
              <w:rPr>
                <w:sz w:val="17"/>
              </w:rPr>
              <w:t>Competenze differenziate</w:t>
            </w:r>
          </w:p>
        </w:tc>
        <w:tc>
          <w:tcPr>
            <w:tcW w:type="dxa" w:w="680"/>
          </w:tcPr>
          <w:p>
            <w:r/>
            <w:r>
              <w:rPr>
                <w:sz w:val="17"/>
              </w:rPr>
              <w:t>✓</w:t>
            </w:r>
          </w:p>
        </w:tc>
        <w:tc>
          <w:tcPr>
            <w:tcW w:type="dxa" w:w="5556"/>
          </w:tcPr>
          <w:p>
            <w:r/>
            <w:r>
              <w:rPr>
                <w:sz w:val="17"/>
              </w:rPr>
              <w:t>Seven Mills 4,000+ inquiries; 350+ Croí Cónaithe apartments sold</w:t>
            </w:r>
          </w:p>
        </w:tc>
      </w:tr>
      <w:tr>
        <w:tc>
          <w:tcPr>
            <w:tcW w:type="dxa" w:w="794"/>
          </w:tcPr>
          <w:p>
            <w:r/>
            <w:r>
              <w:rPr>
                <w:sz w:val="17"/>
              </w:rPr>
              <w:t>OPT-4</w:t>
            </w:r>
          </w:p>
        </w:tc>
        <w:tc>
          <w:tcPr>
            <w:tcW w:type="dxa" w:w="2608"/>
          </w:tcPr>
          <w:p>
            <w:r/>
            <w:r>
              <w:rPr>
                <w:sz w:val="17"/>
              </w:rPr>
              <w:t>Linee di ricavo nascoste</w:t>
            </w:r>
          </w:p>
        </w:tc>
        <w:tc>
          <w:tcPr>
            <w:tcW w:type="dxa" w:w="680"/>
          </w:tcPr>
          <w:p>
            <w:r/>
            <w:r>
              <w:rPr>
                <w:sz w:val="17"/>
              </w:rPr>
              <w:t>✗</w:t>
            </w:r>
          </w:p>
        </w:tc>
        <w:tc>
          <w:tcPr>
            <w:tcW w:type="dxa" w:w="5556"/>
          </w:tcPr>
          <w:p>
            <w:r/>
            <w:r>
              <w:rPr>
                <w:sz w:val="17"/>
              </w:rPr>
              <w:t>None identified that the market ignores</w:t>
            </w:r>
          </w:p>
        </w:tc>
      </w:tr>
      <w:tr>
        <w:tc>
          <w:tcPr>
            <w:tcW w:type="dxa" w:w="794"/>
          </w:tcPr>
          <w:p>
            <w:r/>
            <w:r>
              <w:rPr>
                <w:sz w:val="17"/>
              </w:rPr>
              <w:t>OPT-5</w:t>
            </w:r>
          </w:p>
        </w:tc>
        <w:tc>
          <w:tcPr>
            <w:tcW w:type="dxa" w:w="2608"/>
          </w:tcPr>
          <w:p>
            <w:r/>
            <w:r>
              <w:rPr>
                <w:sz w:val="17"/>
              </w:rPr>
              <w:t>Traction opzionalità</w:t>
            </w:r>
          </w:p>
        </w:tc>
        <w:tc>
          <w:tcPr>
            <w:tcW w:type="dxa" w:w="680"/>
          </w:tcPr>
          <w:p>
            <w:r/>
            <w:r>
              <w:rPr>
                <w:sz w:val="17"/>
              </w:rPr>
              <w:t>✓</w:t>
            </w:r>
          </w:p>
        </w:tc>
        <w:tc>
          <w:tcPr>
            <w:tcW w:type="dxa" w:w="5556"/>
          </w:tcPr>
          <w:p>
            <w:r/>
            <w:r>
              <w:rPr>
                <w:sz w:val="17"/>
              </w:rPr>
              <w:t>5 forward-fund projects live; 350+ scheme apartments agreed</w:t>
            </w:r>
          </w:p>
        </w:tc>
      </w:tr>
    </w:tbl>
    <w:p/>
    <w:p>
      <w:pPr>
        <w:pStyle w:val="Heading2"/>
      </w:pPr>
      <w:r>
        <w:t>Management e Governance (11)</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MGT-1</w:t>
            </w:r>
          </w:p>
        </w:tc>
        <w:tc>
          <w:tcPr>
            <w:tcW w:type="dxa" w:w="2608"/>
          </w:tcPr>
          <w:p>
            <w:r/>
            <w:r>
              <w:rPr>
                <w:sz w:val="17"/>
              </w:rPr>
              <w:t>Struttura organizzativa</w:t>
            </w:r>
          </w:p>
        </w:tc>
        <w:tc>
          <w:tcPr>
            <w:tcW w:type="dxa" w:w="680"/>
          </w:tcPr>
          <w:p>
            <w:r/>
            <w:r>
              <w:rPr>
                <w:sz w:val="17"/>
              </w:rPr>
              <w:t>?</w:t>
            </w:r>
          </w:p>
        </w:tc>
        <w:tc>
          <w:tcPr>
            <w:tcW w:type="dxa" w:w="5556"/>
          </w:tcPr>
          <w:p>
            <w:r/>
            <w:r>
              <w:rPr>
                <w:sz w:val="17"/>
              </w:rPr>
              <w:t>Not researched beyond CEO/board changes</w:t>
            </w:r>
          </w:p>
        </w:tc>
      </w:tr>
      <w:tr>
        <w:tc>
          <w:tcPr>
            <w:tcW w:type="dxa" w:w="794"/>
          </w:tcPr>
          <w:p>
            <w:r/>
            <w:r>
              <w:rPr>
                <w:sz w:val="17"/>
              </w:rPr>
              <w:t>MGT-2</w:t>
            </w:r>
          </w:p>
        </w:tc>
        <w:tc>
          <w:tcPr>
            <w:tcW w:type="dxa" w:w="2608"/>
          </w:tcPr>
          <w:p>
            <w:r/>
            <w:r>
              <w:rPr>
                <w:sz w:val="17"/>
              </w:rPr>
              <w:t>Incentivi (proxy/remuneration)</w:t>
            </w:r>
          </w:p>
        </w:tc>
        <w:tc>
          <w:tcPr>
            <w:tcW w:type="dxa" w:w="680"/>
          </w:tcPr>
          <w:p>
            <w:r/>
            <w:r>
              <w:rPr>
                <w:sz w:val="17"/>
              </w:rPr>
              <w:t>✗</w:t>
            </w:r>
          </w:p>
        </w:tc>
        <w:tc>
          <w:tcPr>
            <w:tcW w:type="dxa" w:w="5556"/>
          </w:tcPr>
          <w:p>
            <w:r/>
            <w:r>
              <w:rPr>
                <w:sz w:val="17"/>
              </w:rPr>
              <w:t>Bespoke Stretch CEO LTIP, 32% voted against; FY26 LTIP ROE max 16% &lt; 17% guide</w:t>
            </w:r>
          </w:p>
        </w:tc>
      </w:tr>
      <w:tr>
        <w:tc>
          <w:tcPr>
            <w:tcW w:type="dxa" w:w="794"/>
          </w:tcPr>
          <w:p>
            <w:r/>
            <w:r>
              <w:rPr>
                <w:sz w:val="17"/>
              </w:rPr>
              <w:t>MGT-3</w:t>
            </w:r>
          </w:p>
        </w:tc>
        <w:tc>
          <w:tcPr>
            <w:tcW w:type="dxa" w:w="2608"/>
          </w:tcPr>
          <w:p>
            <w:r/>
            <w:r>
              <w:rPr>
                <w:sz w:val="17"/>
              </w:rPr>
              <w:t>Governance/turnover</w:t>
            </w:r>
          </w:p>
        </w:tc>
        <w:tc>
          <w:tcPr>
            <w:tcW w:type="dxa" w:w="680"/>
          </w:tcPr>
          <w:p>
            <w:r/>
            <w:r>
              <w:rPr>
                <w:sz w:val="17"/>
              </w:rPr>
              <w:t>✓</w:t>
            </w:r>
          </w:p>
        </w:tc>
        <w:tc>
          <w:tcPr>
            <w:tcW w:type="dxa" w:w="5556"/>
          </w:tcPr>
          <w:p>
            <w:r/>
            <w:r>
              <w:rPr>
                <w:sz w:val="17"/>
              </w:rPr>
              <w:t>CEO in place since 2015 founding; no governance issues found in reviewed sources</w:t>
            </w:r>
          </w:p>
        </w:tc>
      </w:tr>
      <w:tr>
        <w:tc>
          <w:tcPr>
            <w:tcW w:type="dxa" w:w="794"/>
          </w:tcPr>
          <w:p>
            <w:r/>
            <w:r>
              <w:rPr>
                <w:sz w:val="17"/>
              </w:rPr>
              <w:t>MGT-4</w:t>
            </w:r>
          </w:p>
        </w:tc>
        <w:tc>
          <w:tcPr>
            <w:tcW w:type="dxa" w:w="2608"/>
          </w:tcPr>
          <w:p>
            <w:r/>
            <w:r>
              <w:rPr>
                <w:sz w:val="17"/>
              </w:rPr>
              <w:t>Fondatore alla guida / skin in the game</w:t>
            </w:r>
          </w:p>
        </w:tc>
        <w:tc>
          <w:tcPr>
            <w:tcW w:type="dxa" w:w="680"/>
          </w:tcPr>
          <w:p>
            <w:r/>
            <w:r>
              <w:rPr>
                <w:sz w:val="17"/>
              </w:rPr>
              <w:t>✓</w:t>
            </w:r>
          </w:p>
        </w:tc>
        <w:tc>
          <w:tcPr>
            <w:tcW w:type="dxa" w:w="5556"/>
          </w:tcPr>
          <w:p>
            <w:r/>
            <w:r>
              <w:rPr>
                <w:sz w:val="17"/>
              </w:rPr>
              <w:t>Co-founder CEO Michael Stanley; insiders 5.4% total (individual stake unverified)</w:t>
            </w:r>
          </w:p>
        </w:tc>
      </w:tr>
      <w:tr>
        <w:tc>
          <w:tcPr>
            <w:tcW w:type="dxa" w:w="794"/>
          </w:tcPr>
          <w:p>
            <w:r/>
            <w:r>
              <w:rPr>
                <w:sz w:val="17"/>
              </w:rPr>
              <w:t>MGT-5</w:t>
            </w:r>
          </w:p>
        </w:tc>
        <w:tc>
          <w:tcPr>
            <w:tcW w:type="dxa" w:w="2608"/>
          </w:tcPr>
          <w:p>
            <w:r/>
            <w:r>
              <w:rPr>
                <w:sz w:val="17"/>
              </w:rPr>
              <w:t>Interviste / integrità</w:t>
            </w:r>
          </w:p>
        </w:tc>
        <w:tc>
          <w:tcPr>
            <w:tcW w:type="dxa" w:w="680"/>
          </w:tcPr>
          <w:p>
            <w:r/>
            <w:r>
              <w:rPr>
                <w:sz w:val="17"/>
              </w:rPr>
              <w:t>?</w:t>
            </w:r>
          </w:p>
        </w:tc>
        <w:tc>
          <w:tcPr>
            <w:tcW w:type="dxa" w:w="5556"/>
          </w:tcPr>
          <w:p>
            <w:r/>
            <w:r>
              <w:rPr>
                <w:sz w:val="17"/>
              </w:rPr>
              <w:t>Not reviewed</w:t>
            </w:r>
          </w:p>
        </w:tc>
      </w:tr>
      <w:tr>
        <w:tc>
          <w:tcPr>
            <w:tcW w:type="dxa" w:w="794"/>
          </w:tcPr>
          <w:p>
            <w:r/>
            <w:r>
              <w:rPr>
                <w:sz w:val="17"/>
              </w:rPr>
              <w:t>MGT-6</w:t>
            </w:r>
          </w:p>
        </w:tc>
        <w:tc>
          <w:tcPr>
            <w:tcW w:type="dxa" w:w="2608"/>
          </w:tcPr>
          <w:p>
            <w:r/>
            <w:r>
              <w:rPr>
                <w:sz w:val="17"/>
              </w:rPr>
              <w:t>Cultura (Glassdoor/Reddit)</w:t>
            </w:r>
          </w:p>
        </w:tc>
        <w:tc>
          <w:tcPr>
            <w:tcW w:type="dxa" w:w="680"/>
          </w:tcPr>
          <w:p>
            <w:r/>
            <w:r>
              <w:rPr>
                <w:sz w:val="17"/>
              </w:rPr>
              <w:t>?</w:t>
            </w:r>
          </w:p>
        </w:tc>
        <w:tc>
          <w:tcPr>
            <w:tcW w:type="dxa" w:w="5556"/>
          </w:tcPr>
          <w:p>
            <w:r/>
            <w:r>
              <w:rPr>
                <w:sz w:val="17"/>
              </w:rPr>
              <w:t>Not reviewed</w:t>
            </w:r>
          </w:p>
        </w:tc>
      </w:tr>
      <w:tr>
        <w:tc>
          <w:tcPr>
            <w:tcW w:type="dxa" w:w="794"/>
          </w:tcPr>
          <w:p>
            <w:r/>
            <w:r>
              <w:rPr>
                <w:sz w:val="17"/>
              </w:rPr>
              <w:t>MGT-7</w:t>
            </w:r>
          </w:p>
        </w:tc>
        <w:tc>
          <w:tcPr>
            <w:tcW w:type="dxa" w:w="2608"/>
          </w:tcPr>
          <w:p>
            <w:r/>
            <w:r>
              <w:rPr>
                <w:sz w:val="17"/>
              </w:rPr>
              <w:t>Sindacalizzazione</w:t>
            </w:r>
          </w:p>
        </w:tc>
        <w:tc>
          <w:tcPr>
            <w:tcW w:type="dxa" w:w="680"/>
          </w:tcPr>
          <w:p>
            <w:r/>
            <w:r>
              <w:rPr>
                <w:sz w:val="17"/>
              </w:rPr>
              <w:t>?</w:t>
            </w:r>
          </w:p>
        </w:tc>
        <w:tc>
          <w:tcPr>
            <w:tcW w:type="dxa" w:w="5556"/>
          </w:tcPr>
          <w:p>
            <w:r/>
            <w:r>
              <w:rPr>
                <w:sz w:val="17"/>
              </w:rPr>
              <w:t>Not reviewed</w:t>
            </w:r>
          </w:p>
        </w:tc>
      </w:tr>
      <w:tr>
        <w:tc>
          <w:tcPr>
            <w:tcW w:type="dxa" w:w="794"/>
          </w:tcPr>
          <w:p>
            <w:r/>
            <w:r>
              <w:rPr>
                <w:sz w:val="17"/>
              </w:rPr>
              <w:t>MGT-8</w:t>
            </w:r>
          </w:p>
        </w:tc>
        <w:tc>
          <w:tcPr>
            <w:tcW w:type="dxa" w:w="2608"/>
          </w:tcPr>
          <w:p>
            <w:r/>
            <w:r>
              <w:rPr>
                <w:sz w:val="17"/>
              </w:rPr>
              <w:t>Focus breve termine</w:t>
            </w:r>
          </w:p>
        </w:tc>
        <w:tc>
          <w:tcPr>
            <w:tcW w:type="dxa" w:w="680"/>
          </w:tcPr>
          <w:p>
            <w:r/>
            <w:r>
              <w:rPr>
                <w:sz w:val="17"/>
              </w:rPr>
              <w:t>✓</w:t>
            </w:r>
          </w:p>
        </w:tc>
        <w:tc>
          <w:tcPr>
            <w:tcW w:type="dxa" w:w="5556"/>
          </w:tcPr>
          <w:p>
            <w:r/>
            <w:r>
              <w:rPr>
                <w:sz w:val="17"/>
              </w:rPr>
              <w:t>No short-termism evident: price restraint for volume, progressive dividend</w:t>
            </w:r>
          </w:p>
        </w:tc>
      </w:tr>
      <w:tr>
        <w:tc>
          <w:tcPr>
            <w:tcW w:type="dxa" w:w="794"/>
          </w:tcPr>
          <w:p>
            <w:r/>
            <w:r>
              <w:rPr>
                <w:sz w:val="17"/>
              </w:rPr>
              <w:t>MGT-9</w:t>
            </w:r>
          </w:p>
        </w:tc>
        <w:tc>
          <w:tcPr>
            <w:tcW w:type="dxa" w:w="2608"/>
          </w:tcPr>
          <w:p>
            <w:r/>
            <w:r>
              <w:rPr>
                <w:sz w:val="17"/>
              </w:rPr>
              <w:t>Operational excellence</w:t>
            </w:r>
          </w:p>
        </w:tc>
        <w:tc>
          <w:tcPr>
            <w:tcW w:type="dxa" w:w="680"/>
          </w:tcPr>
          <w:p>
            <w:r/>
            <w:r>
              <w:rPr>
                <w:sz w:val="17"/>
              </w:rPr>
              <w:t>✓</w:t>
            </w:r>
          </w:p>
        </w:tc>
        <w:tc>
          <w:tcPr>
            <w:tcW w:type="dxa" w:w="5556"/>
          </w:tcPr>
          <w:p>
            <w:r/>
            <w:r>
              <w:rPr>
                <w:sz w:val="17"/>
              </w:rPr>
              <w:t>FY25 EBIT beat the guide; FY26 guide raised twice; 60% output step-up delivered</w:t>
            </w:r>
          </w:p>
        </w:tc>
      </w:tr>
      <w:tr>
        <w:tc>
          <w:tcPr>
            <w:tcW w:type="dxa" w:w="794"/>
          </w:tcPr>
          <w:p>
            <w:r/>
            <w:r>
              <w:rPr>
                <w:sz w:val="17"/>
              </w:rPr>
              <w:t>MGT-10</w:t>
            </w:r>
          </w:p>
        </w:tc>
        <w:tc>
          <w:tcPr>
            <w:tcW w:type="dxa" w:w="2608"/>
          </w:tcPr>
          <w:p>
            <w:r/>
            <w:r>
              <w:rPr>
                <w:sz w:val="17"/>
              </w:rPr>
              <w:t>Arroganza verso competitor</w:t>
            </w:r>
          </w:p>
        </w:tc>
        <w:tc>
          <w:tcPr>
            <w:tcW w:type="dxa" w:w="680"/>
          </w:tcPr>
          <w:p>
            <w:r/>
            <w:r>
              <w:rPr>
                <w:sz w:val="17"/>
              </w:rPr>
              <w:t>?</w:t>
            </w:r>
          </w:p>
        </w:tc>
        <w:tc>
          <w:tcPr>
            <w:tcW w:type="dxa" w:w="5556"/>
          </w:tcPr>
          <w:p>
            <w:r/>
            <w:r>
              <w:rPr>
                <w:sz w:val="17"/>
              </w:rPr>
              <w:t>No evidence either way</w:t>
            </w:r>
          </w:p>
        </w:tc>
      </w:tr>
      <w:tr>
        <w:tc>
          <w:tcPr>
            <w:tcW w:type="dxa" w:w="794"/>
          </w:tcPr>
          <w:p>
            <w:r/>
            <w:r>
              <w:rPr>
                <w:sz w:val="17"/>
              </w:rPr>
              <w:t>MGT-11</w:t>
            </w:r>
          </w:p>
        </w:tc>
        <w:tc>
          <w:tcPr>
            <w:tcW w:type="dxa" w:w="2608"/>
          </w:tcPr>
          <w:p>
            <w:r/>
            <w:r>
              <w:rPr>
                <w:sz w:val="17"/>
              </w:rPr>
              <w:t>Capital allocation passata</w:t>
            </w:r>
          </w:p>
        </w:tc>
        <w:tc>
          <w:tcPr>
            <w:tcW w:type="dxa" w:w="680"/>
          </w:tcPr>
          <w:p>
            <w:r/>
            <w:r>
              <w:rPr>
                <w:sz w:val="17"/>
              </w:rPr>
              <w:t>✓</w:t>
            </w:r>
          </w:p>
        </w:tc>
        <w:tc>
          <w:tcPr>
            <w:tcW w:type="dxa" w:w="5556"/>
          </w:tcPr>
          <w:p>
            <w:r/>
            <w:r>
              <w:rPr>
                <w:sz w:val="17"/>
              </w:rPr>
              <w:t>€197m buybacks at c.€0.85–2.3, below today's value; no M&amp;A</w:t>
            </w:r>
          </w:p>
        </w:tc>
      </w:tr>
    </w:tbl>
    <w:p/>
    <w:p>
      <w:pPr>
        <w:pStyle w:val="Heading2"/>
      </w:pPr>
      <w:r>
        <w:t>Rischi (9)</w:t>
      </w:r>
    </w:p>
    <w:tbl>
      <w:tblPr>
        <w:tblStyle w:val="TableGrid"/>
        <w:tblW w:type="auto" w:w="0"/>
        <w:tblLook w:firstColumn="1" w:firstRow="1" w:lastColumn="0" w:lastRow="0" w:noHBand="0" w:noVBand="1" w:val="04A0"/>
      </w:tblPr>
      <w:tblGrid>
        <w:gridCol w:w="2493"/>
        <w:gridCol w:w="2493"/>
        <w:gridCol w:w="2493"/>
        <w:gridCol w:w="2493"/>
      </w:tblGrid>
      <w:tr>
        <w:tc>
          <w:tcPr>
            <w:tcW w:type="dxa" w:w="794"/>
            <w:shd w:val="clear" w:color="auto" w:fill="D9E2F3"/>
          </w:tcPr>
          <w:p>
            <w:r/>
            <w:r>
              <w:rPr>
                <w:b/>
                <w:sz w:val="17"/>
              </w:rPr>
              <w:t>ID</w:t>
            </w:r>
          </w:p>
        </w:tc>
        <w:tc>
          <w:tcPr>
            <w:tcW w:type="dxa" w:w="2608"/>
            <w:shd w:val="clear" w:color="auto" w:fill="D9E2F3"/>
          </w:tcPr>
          <w:p>
            <w:r/>
            <w:r>
              <w:rPr>
                <w:b/>
                <w:sz w:val="17"/>
              </w:rPr>
              <w:t>Check</w:t>
            </w:r>
          </w:p>
        </w:tc>
        <w:tc>
          <w:tcPr>
            <w:tcW w:type="dxa" w:w="680"/>
            <w:shd w:val="clear" w:color="auto" w:fill="D9E2F3"/>
          </w:tcPr>
          <w:p>
            <w:r/>
            <w:r>
              <w:rPr>
                <w:b/>
                <w:sz w:val="17"/>
              </w:rPr>
              <w:t>Mark</w:t>
            </w:r>
          </w:p>
        </w:tc>
        <w:tc>
          <w:tcPr>
            <w:tcW w:type="dxa" w:w="5556"/>
            <w:shd w:val="clear" w:color="auto" w:fill="D9E2F3"/>
          </w:tcPr>
          <w:p>
            <w:r/>
            <w:r>
              <w:rPr>
                <w:b/>
                <w:sz w:val="17"/>
              </w:rPr>
              <w:t>Evidence</w:t>
            </w:r>
          </w:p>
        </w:tc>
      </w:tr>
      <w:tr>
        <w:tc>
          <w:tcPr>
            <w:tcW w:type="dxa" w:w="794"/>
          </w:tcPr>
          <w:p>
            <w:r/>
            <w:r>
              <w:rPr>
                <w:sz w:val="17"/>
              </w:rPr>
              <w:t>RSK-1</w:t>
            </w:r>
          </w:p>
        </w:tc>
        <w:tc>
          <w:tcPr>
            <w:tcW w:type="dxa" w:w="2608"/>
          </w:tcPr>
          <w:p>
            <w:r/>
            <w:r>
              <w:rPr>
                <w:sz w:val="17"/>
              </w:rPr>
              <w:t>Fattori di rischio letti</w:t>
            </w:r>
          </w:p>
        </w:tc>
        <w:tc>
          <w:tcPr>
            <w:tcW w:type="dxa" w:w="680"/>
          </w:tcPr>
          <w:p>
            <w:r/>
            <w:r>
              <w:rPr>
                <w:sz w:val="17"/>
              </w:rPr>
              <w:t>✓</w:t>
            </w:r>
          </w:p>
        </w:tc>
        <w:tc>
          <w:tcPr>
            <w:tcW w:type="dxa" w:w="5556"/>
          </w:tcPr>
          <w:p>
            <w:r/>
            <w:r>
              <w:rPr>
                <w:sz w:val="17"/>
              </w:rPr>
              <w:t>Macro, policy, planning, finance, land, H&amp;S, people, cyber (interim statement)</w:t>
            </w:r>
          </w:p>
        </w:tc>
      </w:tr>
      <w:tr>
        <w:tc>
          <w:tcPr>
            <w:tcW w:type="dxa" w:w="794"/>
          </w:tcPr>
          <w:p>
            <w:r/>
            <w:r>
              <w:rPr>
                <w:sz w:val="17"/>
              </w:rPr>
              <w:t>RSK-2</w:t>
            </w:r>
          </w:p>
        </w:tc>
        <w:tc>
          <w:tcPr>
            <w:tcW w:type="dxa" w:w="2608"/>
          </w:tcPr>
          <w:p>
            <w:r/>
            <w:r>
              <w:rPr>
                <w:sz w:val="17"/>
              </w:rPr>
              <w:t>Concentrazione</w:t>
            </w:r>
          </w:p>
        </w:tc>
        <w:tc>
          <w:tcPr>
            <w:tcW w:type="dxa" w:w="680"/>
          </w:tcPr>
          <w:p>
            <w:r/>
            <w:r>
              <w:rPr>
                <w:sz w:val="17"/>
              </w:rPr>
              <w:t>✗</w:t>
            </w:r>
          </w:p>
        </w:tc>
        <w:tc>
          <w:tcPr>
            <w:tcW w:type="dxa" w:w="5556"/>
          </w:tcPr>
          <w:p>
            <w:r/>
            <w:r>
              <w:rPr>
                <w:sz w:val="17"/>
              </w:rPr>
              <w:t>100% Ireland, mostly GDA; heavy reliance on state schemes and state buyers</w:t>
            </w:r>
          </w:p>
        </w:tc>
      </w:tr>
      <w:tr>
        <w:tc>
          <w:tcPr>
            <w:tcW w:type="dxa" w:w="794"/>
          </w:tcPr>
          <w:p>
            <w:r/>
            <w:r>
              <w:rPr>
                <w:sz w:val="17"/>
              </w:rPr>
              <w:t>RSK-3</w:t>
            </w:r>
          </w:p>
        </w:tc>
        <w:tc>
          <w:tcPr>
            <w:tcW w:type="dxa" w:w="2608"/>
          </w:tcPr>
          <w:p>
            <w:r/>
            <w:r>
              <w:rPr>
                <w:sz w:val="17"/>
              </w:rPr>
              <w:t>Ciclicità e stagionalità</w:t>
            </w:r>
          </w:p>
        </w:tc>
        <w:tc>
          <w:tcPr>
            <w:tcW w:type="dxa" w:w="680"/>
          </w:tcPr>
          <w:p>
            <w:r/>
            <w:r>
              <w:rPr>
                <w:sz w:val="17"/>
              </w:rPr>
              <w:t>✓</w:t>
            </w:r>
          </w:p>
        </w:tc>
        <w:tc>
          <w:tcPr>
            <w:tcW w:type="dxa" w:w="5556"/>
          </w:tcPr>
          <w:p>
            <w:r/>
            <w:r>
              <w:rPr>
                <w:sz w:val="17"/>
              </w:rPr>
              <w:t>Understood: highly cyclical, rate-sensitive, H2-weighted closings</w:t>
            </w:r>
          </w:p>
        </w:tc>
      </w:tr>
      <w:tr>
        <w:tc>
          <w:tcPr>
            <w:tcW w:type="dxa" w:w="794"/>
          </w:tcPr>
          <w:p>
            <w:r/>
            <w:r>
              <w:rPr>
                <w:sz w:val="17"/>
              </w:rPr>
              <w:t>RSK-4</w:t>
            </w:r>
          </w:p>
        </w:tc>
        <w:tc>
          <w:tcPr>
            <w:tcW w:type="dxa" w:w="2608"/>
          </w:tcPr>
          <w:p>
            <w:r/>
            <w:r>
              <w:rPr>
                <w:sz w:val="17"/>
              </w:rPr>
              <w:t>Red flag contabili</w:t>
            </w:r>
          </w:p>
        </w:tc>
        <w:tc>
          <w:tcPr>
            <w:tcW w:type="dxa" w:w="680"/>
          </w:tcPr>
          <w:p>
            <w:r/>
            <w:r>
              <w:rPr>
                <w:sz w:val="17"/>
              </w:rPr>
              <w:t>✓</w:t>
            </w:r>
          </w:p>
        </w:tc>
        <w:tc>
          <w:tcPr>
            <w:tcW w:type="dxa" w:w="5556"/>
          </w:tcPr>
          <w:p>
            <w:r/>
            <w:r>
              <w:rPr>
                <w:sz w:val="17"/>
              </w:rPr>
              <w:t>FY25 inventory +29% vs revenue +10% explained by the WIP build and reversed (TTM accrual −4%); no auditor issues found</w:t>
            </w:r>
          </w:p>
        </w:tc>
      </w:tr>
      <w:tr>
        <w:tc>
          <w:tcPr>
            <w:tcW w:type="dxa" w:w="794"/>
          </w:tcPr>
          <w:p>
            <w:r/>
            <w:r>
              <w:rPr>
                <w:sz w:val="17"/>
              </w:rPr>
              <w:t>RSK-5</w:t>
            </w:r>
          </w:p>
        </w:tc>
        <w:tc>
          <w:tcPr>
            <w:tcW w:type="dxa" w:w="2608"/>
          </w:tcPr>
          <w:p>
            <w:r/>
            <w:r>
              <w:rPr>
                <w:sz w:val="17"/>
              </w:rPr>
              <w:t>Indebitamento</w:t>
            </w:r>
          </w:p>
        </w:tc>
        <w:tc>
          <w:tcPr>
            <w:tcW w:type="dxa" w:w="680"/>
          </w:tcPr>
          <w:p>
            <w:r/>
            <w:r>
              <w:rPr>
                <w:sz w:val="17"/>
              </w:rPr>
              <w:t>✓</w:t>
            </w:r>
          </w:p>
        </w:tc>
        <w:tc>
          <w:tcPr>
            <w:tcW w:type="dxa" w:w="5556"/>
          </w:tcPr>
          <w:p>
            <w:r/>
            <w:r>
              <w:rPr>
                <w:sz w:val="17"/>
              </w:rPr>
              <w:t>Net debt €194.5m = 23% of equity, c.1.0× EBITDA; €304m liquidity</w:t>
            </w:r>
          </w:p>
        </w:tc>
      </w:tr>
      <w:tr>
        <w:tc>
          <w:tcPr>
            <w:tcW w:type="dxa" w:w="794"/>
          </w:tcPr>
          <w:p>
            <w:r/>
            <w:r>
              <w:rPr>
                <w:sz w:val="17"/>
              </w:rPr>
              <w:t>RSK-6</w:t>
            </w:r>
          </w:p>
        </w:tc>
        <w:tc>
          <w:tcPr>
            <w:tcW w:type="dxa" w:w="2608"/>
          </w:tcPr>
          <w:p>
            <w:r/>
            <w:r>
              <w:rPr>
                <w:sz w:val="17"/>
              </w:rPr>
              <w:t>Acquisizioni / goodwill</w:t>
            </w:r>
          </w:p>
        </w:tc>
        <w:tc>
          <w:tcPr>
            <w:tcW w:type="dxa" w:w="680"/>
          </w:tcPr>
          <w:p>
            <w:r/>
            <w:r>
              <w:rPr>
                <w:sz w:val="17"/>
              </w:rPr>
              <w:t>✓</w:t>
            </w:r>
          </w:p>
        </w:tc>
        <w:tc>
          <w:tcPr>
            <w:tcW w:type="dxa" w:w="5556"/>
          </w:tcPr>
          <w:p>
            <w:r/>
            <w:r>
              <w:rPr>
                <w:sz w:val="17"/>
              </w:rPr>
              <w:t>Intangibles €4.5m; no M&amp;A</w:t>
            </w:r>
          </w:p>
        </w:tc>
      </w:tr>
      <w:tr>
        <w:tc>
          <w:tcPr>
            <w:tcW w:type="dxa" w:w="794"/>
          </w:tcPr>
          <w:p>
            <w:r/>
            <w:r>
              <w:rPr>
                <w:sz w:val="17"/>
              </w:rPr>
              <w:t>RSK-7</w:t>
            </w:r>
          </w:p>
        </w:tc>
        <w:tc>
          <w:tcPr>
            <w:tcW w:type="dxa" w:w="2608"/>
          </w:tcPr>
          <w:p>
            <w:r/>
            <w:r>
              <w:rPr>
                <w:sz w:val="17"/>
              </w:rPr>
              <w:t>Ice bucket challenge (moda)</w:t>
            </w:r>
          </w:p>
        </w:tc>
        <w:tc>
          <w:tcPr>
            <w:tcW w:type="dxa" w:w="680"/>
          </w:tcPr>
          <w:p>
            <w:r/>
            <w:r>
              <w:rPr>
                <w:sz w:val="17"/>
              </w:rPr>
              <w:t>✓</w:t>
            </w:r>
          </w:p>
        </w:tc>
        <w:tc>
          <w:tcPr>
            <w:tcW w:type="dxa" w:w="5556"/>
          </w:tcPr>
          <w:p>
            <w:r/>
            <w:r>
              <w:rPr>
                <w:sz w:val="17"/>
              </w:rPr>
              <w:t>Housing demand is structural (50k/yr need)</w:t>
            </w:r>
          </w:p>
        </w:tc>
      </w:tr>
      <w:tr>
        <w:tc>
          <w:tcPr>
            <w:tcW w:type="dxa" w:w="794"/>
          </w:tcPr>
          <w:p>
            <w:r/>
            <w:r>
              <w:rPr>
                <w:sz w:val="17"/>
              </w:rPr>
              <w:t>RSK-8</w:t>
            </w:r>
          </w:p>
        </w:tc>
        <w:tc>
          <w:tcPr>
            <w:tcW w:type="dxa" w:w="2608"/>
          </w:tcPr>
          <w:p>
            <w:r/>
            <w:r>
              <w:rPr>
                <w:sz w:val="17"/>
              </w:rPr>
              <w:t>Debito tecnico (tech)</w:t>
            </w:r>
          </w:p>
        </w:tc>
        <w:tc>
          <w:tcPr>
            <w:tcW w:type="dxa" w:w="680"/>
          </w:tcPr>
          <w:p>
            <w:r/>
            <w:r>
              <w:rPr>
                <w:sz w:val="17"/>
              </w:rPr>
              <w:t>N/A</w:t>
            </w:r>
          </w:p>
        </w:tc>
        <w:tc>
          <w:tcPr>
            <w:tcW w:type="dxa" w:w="5556"/>
          </w:tcPr>
          <w:p>
            <w:r/>
            <w:r>
              <w:rPr>
                <w:sz w:val="17"/>
              </w:rPr>
              <w:t>Not a tech company</w:t>
            </w:r>
          </w:p>
        </w:tc>
      </w:tr>
      <w:tr>
        <w:tc>
          <w:tcPr>
            <w:tcW w:type="dxa" w:w="794"/>
          </w:tcPr>
          <w:p>
            <w:r/>
            <w:r>
              <w:rPr>
                <w:sz w:val="17"/>
              </w:rPr>
              <w:t>RSK-9</w:t>
            </w:r>
          </w:p>
        </w:tc>
        <w:tc>
          <w:tcPr>
            <w:tcW w:type="dxa" w:w="2608"/>
          </w:tcPr>
          <w:p>
            <w:r/>
            <w:r>
              <w:rPr>
                <w:sz w:val="17"/>
              </w:rPr>
              <w:t>Entropia burocratica (matura)</w:t>
            </w:r>
          </w:p>
        </w:tc>
        <w:tc>
          <w:tcPr>
            <w:tcW w:type="dxa" w:w="680"/>
          </w:tcPr>
          <w:p>
            <w:r/>
            <w:r>
              <w:rPr>
                <w:sz w:val="17"/>
              </w:rPr>
              <w:t>N/A</w:t>
            </w:r>
          </w:p>
        </w:tc>
        <w:tc>
          <w:tcPr>
            <w:tcW w:type="dxa" w:w="5556"/>
          </w:tcPr>
          <w:p>
            <w:r/>
            <w:r>
              <w:rPr>
                <w:sz w:val="17"/>
              </w:rPr>
              <w:t>Young company (2015)</w:t>
            </w:r>
          </w:p>
        </w:tc>
      </w:tr>
    </w:tbl>
    <w:p/>
    <w:p>
      <w:r>
        <w:rPr>
          <w:b/>
          <w:i w:val="0"/>
        </w:rPr>
        <w:t>Weakest category (most ✗): Check dei Poteri (6 ✗). Per the checklist rules, many ✗ in POW is normal; excluding POW, the weakest areas are Strategia/Power Dynamics (STR-6, PD-4: fragmented market, undifferentiated product), i.e. the moat.</w:t>
      </w:r>
    </w:p>
    <w:p>
      <w:r>
        <w:rPr>
          <w:b/>
          <w:i w:val="0"/>
        </w:rPr>
        <w:t>✗ in PRE and RSK: PRE-4 (no differentiated view vs consensus); RSK-2 (single-country, state-scheme and state-buyer concentration).</w:t>
      </w:r>
    </w:p>
    <w:p>
      <w:r>
        <w:rPr>
          <w:b/>
          <w:i w:val="0"/>
        </w:rPr>
        <w:t>Powers present: POW-5 Economie di Scala (weak). No other Power identified.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