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i w:val="0"/>
          <w:color w:val="1F3864"/>
          <w:sz w:val="48"/>
        </w:rPr>
        <w:t>SOFI TECHNOLOGIES, INC.</w:t>
      </w:r>
    </w:p>
    <w:p>
      <w:pPr>
        <w:spacing w:before="0" w:after="280"/>
        <w:jc w:val="center"/>
      </w:pPr>
      <w:r>
        <w:rPr>
          <w:b/>
          <w:i w:val="0"/>
          <w:color w:val="1F3864"/>
          <w:sz w:val="36"/>
        </w:rPr>
        <w:t>(NASDAQ: SOFI)</w:t>
      </w:r>
    </w:p>
    <w:p>
      <w:pPr>
        <w:spacing w:before="0" w:after="200"/>
        <w:jc w:val="center"/>
      </w:pPr>
      <w:r>
        <w:rPr>
          <w:b w:val="0"/>
          <w:i w:val="0"/>
          <w:color w:val="2E5395"/>
          <w:sz w:val="28"/>
        </w:rPr>
        <w:t>Long-Term Conviction Report — Deep-Dive Mode</w:t>
      </w:r>
    </w:p>
    <w:p>
      <w:pPr>
        <w:spacing w:before="0" w:after="560"/>
        <w:jc w:val="center"/>
      </w:pPr>
      <w:r>
        <w:rPr>
          <w:b w:val="0"/>
          <w:i/>
          <w:color w:val="595959"/>
          <w:sz w:val="20"/>
        </w:rPr>
        <w:t>Ticker: SOFI (NASDAQ) | Track: C-FT | Price at production: $15.77 (2026-10-02 close) | Date: 2026-10-03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</w:tblBorders>
      </w:tblPr>
      <w:tblGrid>
        <w:gridCol w:w="9638"/>
      </w:tblGrid>
      <w:tr>
        <w:tc>
          <w:tcPr>
            <w:tcW w:type="dxa" w:w="8787"/>
            <w:shd w:val="clear" w:color="auto" w:fill="C62828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8787"/>
            <w:shd w:val="clear" w:color="auto" w:fill="FFEBEE"/>
          </w:tcPr>
          <w:p>
            <w:r>
              <w:rPr>
                <w:b/>
                <w:sz w:val="22"/>
              </w:rPr>
              <w:t>F-Rating: FAIR   |   MoS Gate: NONE   |   Compounder: TRADE ONLY   |   AI Impact: NEUTRAL</w:t>
            </w:r>
          </w:p>
          <w:p>
            <w:r>
              <w:rPr>
                <w:sz w:val="19"/>
              </w:rPr>
              <w:t>DCF Bear / Base / Bull: $2.62 / $4.25 / $6.29 per share — at $15.77 the price is 2.5x the Bull case; residual income $6.81 and tangible book $7.50 confirm no margin of safety. Re-underwrite at Q3 results (2026-10-27).</w:t>
            </w:r>
          </w:p>
        </w:tc>
      </w:tr>
    </w:tbl>
    <w:p>
      <w:pPr>
        <w:spacing w:before="480"/>
      </w:pPr>
      <w:r>
        <w:rPr>
          <w:i/>
          <w:color w:val="808080"/>
          <w:sz w:val="18"/>
        </w:rPr>
        <w:t>Personal long-term conviction analysis produced by long-term-analyst.md (Deep-Dive Mode), Trading-Agent long-term track. Not financial advice and not a subscriber publication. Every figure is sourced and dated; the DCFs are illustrative scenario modelling, not a precise forecast. Supersedes the 2026-09-17 SOFI report.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0. Recent Context — Last Earnings &amp; News</w:t>
      </w:r>
    </w:p>
    <w:p>
      <w:pPr>
        <w:pStyle w:val="ListBullet"/>
      </w:pPr>
      <w:r>
        <w:t>1. Business Overview</w:t>
      </w:r>
    </w:p>
    <w:p>
      <w:pPr>
        <w:pStyle w:val="ListBullet"/>
      </w:pPr>
      <w:r>
        <w:t>2. Routing</w:t>
      </w:r>
    </w:p>
    <w:p>
      <w:pPr>
        <w:pStyle w:val="ListBullet"/>
      </w:pPr>
      <w:r>
        <w:t>3. Categorization (Lynch)</w:t>
      </w:r>
    </w:p>
    <w:p>
      <w:pPr>
        <w:pStyle w:val="ListBullet"/>
      </w:pPr>
      <w:r>
        <w:t>4. Earnings Quality (Penman)</w:t>
      </w:r>
    </w:p>
    <w:p>
      <w:pPr>
        <w:pStyle w:val="ListBullet"/>
      </w:pPr>
      <w:r>
        <w:t>5. Valuation — DCF (Koller)</w:t>
      </w:r>
    </w:p>
    <w:p>
      <w:pPr>
        <w:pStyle w:val="ListBullet"/>
      </w:pPr>
      <w:r>
        <w:t>6. Mauboussin — Price-Implied Expectations</w:t>
      </w:r>
    </w:p>
    <w:p>
      <w:pPr>
        <w:pStyle w:val="ListBullet"/>
      </w:pPr>
      <w:r>
        <w:t>7. Fisher — Qualitative Checklist</w:t>
      </w:r>
    </w:p>
    <w:p>
      <w:pPr>
        <w:pStyle w:val="ListBullet"/>
      </w:pPr>
      <w:r>
        <w:t>8. Ilmanen — Factor Read</w:t>
      </w:r>
    </w:p>
    <w:p>
      <w:pPr>
        <w:pStyle w:val="ListBullet"/>
      </w:pPr>
      <w:r>
        <w:t>9. Quality Compounder Screen</w:t>
      </w:r>
    </w:p>
    <w:p>
      <w:pPr>
        <w:pStyle w:val="ListBullet"/>
      </w:pPr>
      <w:r>
        <w:t>10. Sector Appendix — Fintech &amp; Payments (Banks cross-check)</w:t>
      </w:r>
    </w:p>
    <w:p>
      <w:pPr>
        <w:pStyle w:val="ListBullet"/>
      </w:pPr>
      <w:r>
        <w:t>11. Five-Year Ratio Trend Analysis</w:t>
      </w:r>
    </w:p>
    <w:p>
      <w:pPr>
        <w:pStyle w:val="ListBullet"/>
      </w:pPr>
      <w:r>
        <w:t>12. Final Verdict</w:t>
      </w:r>
    </w:p>
    <w:p>
      <w:pPr>
        <w:pStyle w:val="ListBullet"/>
      </w:pPr>
      <w:r>
        <w:t>13. Investment Checklist Scorecard (86 checks)</w:t>
      </w:r>
    </w:p>
    <w:p>
      <w:pPr>
        <w:pStyle w:val="Heading1"/>
      </w:pPr>
      <w:r>
        <w:t>0. Recent Context — Last Earnings &amp; News</w:t>
      </w:r>
    </w:p>
    <w:p>
      <w:pPr>
        <w:pStyle w:val="Heading2"/>
      </w:pPr>
      <w:r>
        <w:t>What changed since the 2026-09-17 report</w:t>
      </w:r>
    </w:p>
    <w:p>
      <w:pPr>
        <w:pStyle w:val="ListBullet"/>
      </w:pPr>
      <w:r>
        <w:t>Price $15.77 (2026-10-02 close), down from $16.65 at the prior report (−5.3%), and 51.8% below the 52-week high of $32.73; the 52-week low of $14.88 is 5.6% below. Price is under both the 50-day ($17.46) and 200-day ($18.94) averages; 14-day RSI 23.4 (oversold).</w:t>
      </w:r>
    </w:p>
    <w:p>
      <w:pPr>
        <w:pStyle w:val="ListBullet"/>
      </w:pPr>
      <w:r>
        <w:t>Rates: the Fed hiked 25bp to 3.75–4.00% on 2026-09-16 (first hike since 2023; dot plot shows one more in 2026). The 10Y UST is 5.27% (2026-10-02), up from 5.01% at the prior report and briefly 5.34% on 2026-09-30 (highest since 2002). September payrolls +29k vs 84k expected; unemployment 4.1% → 4.2% — a weakening-labour signal relevant to consumer credit.</w:t>
      </w:r>
    </w:p>
    <w:p>
      <w:pPr>
        <w:pStyle w:val="ListBullet"/>
      </w:pPr>
      <w:r>
        <w:t>SoFiUSD stablecoin settlement went live across SoFi Bank's debit and credit card programs on Mastercard's network (2026-09-22); shares rose ~5% that day.</w:t>
      </w:r>
    </w:p>
    <w:p>
      <w:pPr>
        <w:pStyle w:val="ListBullet"/>
      </w:pPr>
      <w:r>
        <w:t>SoFi Plus (paid membership) passed 200,000 subscribers; CEO Noto said he would be 'disappointed' not to reach 1M members generating ~$120M annual revenue a year from now.</w:t>
      </w:r>
    </w:p>
    <w:p>
      <w:pPr>
        <w:pStyle w:val="ListBullet"/>
      </w:pPr>
      <w:r>
        <w:t>Analysts (September 2026): Scotiabank initiated Buy, $25 PT (09-02); KBW maintained Sell, $16 PT (09-03); Loop Capital initiated Hold, $22 PT (09-08); William Blair reiterated Buy (09-10). Consensus Hold, average PT $20.34 (26 analysts: 5 Strong Buy, 4 Buy, 13 Hold, 2 Sell, 2 Strong Sell).</w:t>
      </w:r>
    </w:p>
    <w:p>
      <w:pPr>
        <w:pStyle w:val="ListBullet"/>
      </w:pPr>
      <w:r>
        <w:t>Insider: officer Kelli Keough filed a Form 144 for up to 30,918 shares (~$524K) after RSU vesting, saleable from 2026-09-21 — vesting-related, not a discretionary signal. CEO Noto's record remains 36 open-market purchases and zero sales over five years.</w:t>
      </w:r>
    </w:p>
    <w:p>
      <w:pPr>
        <w:pStyle w:val="ListBullet"/>
      </w:pPr>
      <w:r>
        <w:t>Next catalyst: Q3 2026 results on Tuesday 2026-10-27, ~07:00 ET (call 08:00 ET).</w:t>
      </w:r>
    </w:p>
    <w:p>
      <w:pPr>
        <w:pStyle w:val="Heading2"/>
      </w:pPr>
      <w:r>
        <w:t>Last reported quarter (Q2 2026, reported 2026-07-29) — unchanged since the prior report</w:t>
      </w:r>
    </w:p>
    <w:p>
      <w:pPr>
        <w:pStyle w:val="ListBullet"/>
      </w:pPr>
      <w:r>
        <w:t>Net revenue $1.22B (adjusted ~$1.2B, +40–43% YoY vs $771.8M in Q2 2025); EPS $0.12 vs $0.109 consensus.</w:t>
      </w:r>
    </w:p>
    <w:p>
      <w:pPr>
        <w:pStyle w:val="ListBullet"/>
      </w:pPr>
      <w:r>
        <w:t>Net income $156.6M vs $97.4M in Q2 2025 (+61% YoY) and $166.7M in Q1 2026 (−6.1% QoQ).</w:t>
      </w:r>
    </w:p>
    <w:p>
      <w:pPr>
        <w:pStyle w:val="ListBullet"/>
      </w:pPr>
      <w:r>
        <w:t>Adjusted EBITDA $357.8M (30% margin) vs $249.1M (29%) in Q2 2025 (+44% YoY); Q1 2026 $339.9M (31%).</w:t>
      </w:r>
    </w:p>
    <w:p>
      <w:pPr>
        <w:pStyle w:val="ListBullet"/>
      </w:pPr>
      <w:r>
        <w:t>Segments, Q2 2026 vs Q2 2025: Lending $724.8M vs $443.5M (+63.4%); Financial Services $466.3M vs $362.5M (+28.6%); Technology Platform $84.5M vs $109.8M (−23.0%; large client fully transitioned off before 2025-12-31; contribution margin 30% → 14%).</w:t>
      </w:r>
    </w:p>
    <w:p>
      <w:pPr>
        <w:pStyle w:val="ListBullet"/>
      </w:pPr>
      <w:r>
        <w:t>Members 15.8M vs 11.7M (+35% YoY); products 24.4M (+42% YoY); 51% of new products from existing members.</w:t>
      </w:r>
    </w:p>
    <w:p>
      <w:pPr>
        <w:pStyle w:val="ListBullet"/>
      </w:pPr>
      <w:r>
        <w:t>Deposits $45.5B, +$5.3B in the quarter (+13.2% QoQ). Originations $14.8B (record, +69% YoY), of which personal loans $10.7B.</w:t>
      </w:r>
    </w:p>
    <w:p>
      <w:pPr>
        <w:pStyle w:val="ListBullet"/>
      </w:pPr>
      <w:r>
        <w:t>Credit: on-balance-sheet personal-loan annualized charge-off rate 2.62% (vs 2.83% a year earlier, −21bp; vs 3.03% in Q1 2026); 90-day delinquency 40bp (−7bp QoQ). The company's all-in estimate (incl. recoveries, excl. late-stage loan sales) ≈3.7% (−70bp QoQ, −80bp YoY). Different measures — not averaged.</w:t>
      </w:r>
    </w:p>
    <w:p>
      <w:pPr>
        <w:pStyle w:val="ListBullet"/>
      </w:pPr>
      <w:r>
        <w:t>FY2026 guidance raised twice: adjusted net revenue $4.75–4.85B (+32–35%); adjusted EBITDA ~$1.6B, adjusted net income ~$825M, adjusted EPS ~$0.60 held unchanged.</w:t>
      </w:r>
    </w:p>
    <w:p>
      <w:pPr>
        <w:pStyle w:val="Heading2"/>
      </w:pPr>
      <w:r>
        <w:t>Capital and dilution context</w:t>
      </w:r>
    </w:p>
    <w:p>
      <w:pPr>
        <w:pStyle w:val="ListBullet"/>
      </w:pPr>
      <w:r>
        <w:t>Two opportunistic equity raises in 2025 for ~$3.3B gross: 2025-07-29, $1.725B (82.73M shares, ≈$20.85/share); December 2025, ~$1.5–1.6B (54.5M shares at $27.50). Shares went from 1,095M (FY2024) to 1,271M (FY2025), +16.1%; 1,291.6M today.</w:t>
      </w:r>
    </w:p>
    <w:p>
      <w:pPr>
        <w:pStyle w:val="ListBullet"/>
      </w:pPr>
      <w:r>
        <w:t>Stock-based compensation FY2025: $262.1M (7.3% of FY2025 revenue of $3,583M).</w:t>
      </w:r>
    </w:p>
    <w:p>
      <w:pPr>
        <w:pStyle w:val="ListBullet"/>
      </w:pPr>
      <w:r>
        <w:t>$862.5M 1.25% convertible notes due 2029 (issued March 2024); conversion condition met in Q4 2025 (convertible Jan–Mar 2026; no conversions elected through 2026-02-17).</w:t>
      </w:r>
    </w:p>
    <w:p>
      <w:r>
        <w:rPr>
          <w:b w:val="0"/>
          <w:i/>
          <w:sz w:val="18"/>
        </w:rPr>
        <w:t>Sources: SoFi Q1/Q2 2026 8-K releases and 10-Qs; 2026 DEF 14A; SEC Form 144 (StockTitan); CNBC (Fed, payrolls, yields); 24/7 Wall St.; MarketBeat/StockAnalysis (analysts); SoFi IR (Q3 date, capital raises); Glassdoor; yfinance (price, beta, shares).</w:t>
      </w:r>
    </w:p>
    <w:p>
      <w:pPr>
        <w:pStyle w:val="Heading1"/>
      </w:pPr>
      <w:r>
        <w:t>1. Business Overview</w:t>
      </w:r>
    </w:p>
    <w:p>
      <w:pPr>
        <w:pStyle w:val="Heading2"/>
      </w:pPr>
      <w:r>
        <w:t>Business segments</w:t>
      </w:r>
    </w:p>
    <w:p>
      <w:pPr>
        <w:pStyle w:val="ListBullet"/>
      </w:pPr>
      <w:r>
        <w:rPr>
          <w:b/>
        </w:rPr>
        <w:t xml:space="preserve">Lending (56.8% of Q2 2026 segment revenue): </w:t>
      </w:r>
      <w:r>
        <w:t>unsecured personal loans, private student loans/refinancing and home loans, originated through a branchless digital model aimed at high-income, high-credit borrowers. Includes the fee-generating Loan Platform Business (originations for third-party buyers; $3.0B of Q1 2026's $12.2B).</w:t>
      </w:r>
    </w:p>
    <w:p>
      <w:pPr>
        <w:pStyle w:val="ListBullet"/>
      </w:pPr>
      <w:r>
        <w:rPr>
          <w:b/>
        </w:rPr>
        <w:t xml:space="preserve">Financial Services (36.6%): </w:t>
      </w:r>
      <w:r>
        <w:t>SoFi Money (checking/savings), SoFi Invest, Relay, SoFi Credit Card, SoFi Plus subscription, and now SoFiUSD stablecoin settlement. The deposit base here is the funding lever for Lending.</w:t>
      </w:r>
    </w:p>
    <w:p>
      <w:pPr>
        <w:pStyle w:val="ListBullet"/>
      </w:pPr>
      <w:r>
        <w:rPr>
          <w:b/>
        </w:rPr>
        <w:t xml:space="preserve">Technology Platform (6.6%): </w:t>
      </w:r>
      <w:r>
        <w:t>Galileo (card issuing/processing) and Technisys (core banking), sold B2B as 'SoFi Tech Solutions'. Two quarters of −23% to −27% YoY after losing its largest enterprise client; stabilizing sequentially (+12–13% QoQ).</w:t>
      </w:r>
    </w:p>
    <w:p>
      <w:pPr>
        <w:pStyle w:val="Heading2"/>
      </w:pPr>
      <w:r>
        <w:t>Principal markets</w:t>
      </w:r>
    </w:p>
    <w:p>
      <w:pPr>
        <w:pStyle w:val="ListBullet"/>
      </w:pPr>
      <w:r>
        <w:t>Essentially 100% US consumer-facing; 15.8M members.</w:t>
      </w:r>
    </w:p>
    <w:p>
      <w:pPr>
        <w:pStyle w:val="ListBullet"/>
      </w:pPr>
      <w:r>
        <w:t>Competitive set: neobanks (Chime, Varo), incumbents' digital arms (JPMorgan Chase, Bank of America), fintech lenders (Upstart, Affirm, LendingClub), and banking-infrastructure rivals for the Tech Platform (Marqeta, Fiserv, FIS, Stripe Issuing). SoFi is unusual in holding a full national bank charter (2022).</w:t>
      </w:r>
    </w:p>
    <w:p>
      <w:pPr>
        <w:pStyle w:val="Heading2"/>
      </w:pPr>
      <w:r>
        <w:t>TAM</w:t>
      </w:r>
    </w:p>
    <w:p>
      <w:pPr>
        <w:pStyle w:val="ListBullet"/>
      </w:pPr>
      <w:r>
        <w:t>Company framing: targeting a $1–2T slice of its addressable market; management says the 2026 SMB-banking expansion 'effectively doubles' TAM.</w:t>
      </w:r>
    </w:p>
    <w:p>
      <w:pPr>
        <w:pStyle w:val="ListBullet"/>
      </w:pPr>
      <w:r>
        <w:t>Third-party segment sizing (indicative): US student loans &gt;$1.7T; personal loans ~$253B; mortgages ~$12.8T; commercial deposits ~$18T; card spend &gt;$10T/yr.</w:t>
      </w:r>
    </w:p>
    <w:p>
      <w:pPr>
        <w:pStyle w:val="ListBullet"/>
      </w:pPr>
      <w:r>
        <w:t>Penetration: TTM revenue $4,268M vs $1–2T ≈ 0.2–0.4% — a large nominal runway, mostly intermediated by incumbents.</w:t>
      </w:r>
    </w:p>
    <w:p>
      <w:pPr>
        <w:pStyle w:val="Heading1"/>
      </w:pPr>
      <w:r>
        <w:t>2. Routing</w:t>
      </w:r>
    </w:p>
    <w:p>
      <w:r>
        <w:rPr>
          <w:b w:val="0"/>
          <w:i w:val="0"/>
        </w:rPr>
        <w:t>C-FT — Track C (Pure Growth; 'fintech disruptors' is a named Track C example), sector Fintech &amp; Payments. Hybrid flag: Lending and Financial Services sit on a real bank balance sheet (deposits, fair-value loans, NIM, provisioning), so bank-style checks (P/TBV vs ROTE, residual income) are run as cross-checks alongside the Track C framework.</w:t>
      </w:r>
    </w:p>
    <w:p>
      <w:pPr>
        <w:pStyle w:val="Heading1"/>
      </w:pPr>
      <w:r>
        <w:t>3. Categorization (Lynch)</w:t>
      </w:r>
    </w:p>
    <w:p>
      <w:r>
        <w:rPr>
          <w:b w:val="0"/>
          <w:i w:val="0"/>
        </w:rPr>
        <w:t>Fast Grower — revenue growth 27.8%–40.9% YoY in every period since FY2023; FY2026 guide +32–35%.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6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PEG basis</w:t>
            </w:r>
          </w:p>
        </w:tc>
        <w:tc>
          <w:tcPr>
            <w:tcW w:type="dxa" w:w="240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Multiple</w:t>
            </w:r>
          </w:p>
        </w:tc>
        <w:tc>
          <w:tcPr>
            <w:tcW w:type="dxa" w:w="240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80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PEG</w:t>
            </w:r>
          </w:p>
        </w:tc>
        <w:tc>
          <w:tcPr>
            <w:tcW w:type="dxa" w:w="240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Read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Trailing GAAP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P/E 32.2x (TTM EPS $0.49)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+25.6% (FY2024 $0.39 → TTM $0.49)</w:t>
            </w:r>
          </w:p>
        </w:tc>
        <w:tc>
          <w:tcPr>
            <w:tcW w:type="dxa" w:w="803"/>
          </w:tcPr>
          <w:p>
            <w:r>
              <w:rPr>
                <w:sz w:val="18"/>
              </w:rPr>
              <w:t>≈1.26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Growth broadly priced in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Forward, guided adjusted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26.3x ($15.77 / FY2026 adj. EPS guide $0.60)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+62.2% (FY2025 adj. $0.37 → $0.60)</w:t>
            </w:r>
          </w:p>
        </w:tc>
        <w:tc>
          <w:tcPr>
            <w:tcW w:type="dxa" w:w="803"/>
          </w:tcPr>
          <w:p>
            <w:r>
              <w:rPr>
                <w:sz w:val="18"/>
              </w:rPr>
              <w:t>≈0.42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'Potentially undervalued' (&lt;0.5) — only if the guide lands</w:t>
            </w:r>
          </w:p>
        </w:tc>
      </w:tr>
    </w:tbl>
    <w:p/>
    <w:p>
      <w:r>
        <w:rPr>
          <w:b w:val="0"/>
          <w:i w:val="0"/>
        </w:rPr>
        <w:t>The gap between the two PEGs is management's implied operating leverage: adjusted net income guided +81% ($455M → $825M) on revenue +32–35%. Section 6 tests that against base rates.</w:t>
      </w:r>
    </w:p>
    <w:p>
      <w:pPr>
        <w:pStyle w:val="Heading1"/>
      </w:pPr>
      <w:r>
        <w:t>4. Earnings Quality (Penman)</w:t>
      </w:r>
    </w:p>
    <w:p>
      <w:pPr>
        <w:pStyle w:val="ListBullet"/>
      </w:pPr>
      <w:r>
        <w:t>Accrual ratio is not meaningful in its literal form: operating cash flow is structurally negative (TTM −$8.5B; FY2025 −$3.7B) because loans held for sale are funded through the operating section. This is lender accounting, not a Sloan accrual signal.</w:t>
      </w:r>
    </w:p>
    <w:p>
      <w:pPr>
        <w:pStyle w:val="ListBullet"/>
      </w:pPr>
      <w:r>
        <w:t>GAAP profitability is a genuine inflection: net income FY2021 −$524.4M, FY2022 −$360.8M, FY2023 −$341.2M → FY2024 +$479.1M, FY2025 +$481.3M, TTM +$636.3M; adjusted EBITDA from ~$30M (FY2021) to ~$1.1B (FY2025).</w:t>
      </w:r>
    </w:p>
    <w:p>
      <w:pPr>
        <w:pStyle w:val="ListBullet"/>
      </w:pPr>
      <w:r>
        <w:t>ROE: −12.42% (FY2021) → −6.27% → −5.43% → +8.26% (FY2024) → +5.66% (FY2025) → 7.09% (TTM). The FY2025 dip came from equity growing faster than income — largely the $3.3B of 2025 equity raises.</w:t>
      </w:r>
    </w:p>
    <w:p>
      <w:pPr>
        <w:pStyle w:val="ListBullet"/>
      </w:pPr>
      <w:r>
        <w:t>Dilution: 828M shares (FY2021) → 1,291.6M today (+56%). FY2025 alone was +16.1%, driven by the two raises. This corrects the prior report's 'decelerating' read: the trend is lumpy, not decelerating.</w:t>
      </w:r>
    </w:p>
    <w:p>
      <w:pPr>
        <w:pStyle w:val="ListBullet"/>
      </w:pPr>
      <w:r>
        <w:t>Goodwill: $1.4B total, $1.3B in the Technology Platform reporting unit — the segment that lost its largest client and whose contribution margin fell from 30% to 14%. No impairment booked. A live Penman red flag (large goodwill against a deteriorating acquired business).</w:t>
      </w:r>
    </w:p>
    <w:p>
      <w:pPr>
        <w:pStyle w:val="ListBullet"/>
      </w:pPr>
      <w:r>
        <w:t>Leverage: debt/equity 0.89 (FY2021) → 0.19 (FY2025) → 0.31 (TTM); total debt $3,415M vs cash $3,367M (net debt ≈ $49M).</w:t>
      </w:r>
    </w:p>
    <w:p>
      <w:pPr>
        <w:pStyle w:val="Heading1"/>
      </w:pPr>
      <w:r>
        <w:t>5. Valuation — DCF (Koller)</w:t>
      </w:r>
    </w:p>
    <w:p>
      <w:pPr>
        <w:pStyle w:val="Heading2"/>
      </w:pPr>
      <w:r>
        <w:t>Method fit</w:t>
      </w:r>
    </w:p>
    <w:p>
      <w:r>
        <w:rPr>
          <w:b w:val="0"/>
          <w:i w:val="0"/>
        </w:rPr>
        <w:t>Koller's ROIC/reinvestment DCF is built for operating companies; SoFi funds growth with deposits, not retained NOPLAT, so the mechanical DCF understates value structurally. It is run in full as required, then cross-checked with residual income (ROE vs cost of equity) and P/TBV vs ROTE — the standard bank techniques.</w:t>
      </w:r>
    </w:p>
    <w:p>
      <w:pPr>
        <w:pStyle w:val="Heading2"/>
      </w:pPr>
      <w:r>
        <w:t>WACC construction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6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75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2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Source / note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Risk-free (10Y UST)</w:t>
            </w:r>
          </w:p>
        </w:tc>
        <w:tc>
          <w:tcPr>
            <w:tcW w:type="dxa" w:w="1752"/>
          </w:tcPr>
          <w:p>
            <w:r>
              <w:rPr>
                <w:sz w:val="18"/>
              </w:rPr>
              <w:t>5.27%</w:t>
            </w:r>
          </w:p>
        </w:tc>
        <w:tc>
          <w:tcPr>
            <w:tcW w:type="dxa" w:w="5257"/>
          </w:tcPr>
          <w:p>
            <w:r>
              <w:rPr>
                <w:sz w:val="18"/>
              </w:rPr>
              <w:t>2026-10-02 close (prior report: 5.01%)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Equity risk premium</w:t>
            </w:r>
          </w:p>
        </w:tc>
        <w:tc>
          <w:tcPr>
            <w:tcW w:type="dxa" w:w="1752"/>
          </w:tcPr>
          <w:p>
            <w:r>
              <w:rPr>
                <w:sz w:val="18"/>
              </w:rPr>
              <w:t>4.50%</w:t>
            </w:r>
          </w:p>
        </w:tc>
        <w:tc>
          <w:tcPr>
            <w:tcW w:type="dxa" w:w="5257"/>
          </w:tcPr>
          <w:p>
            <w:r>
              <w:rPr>
                <w:sz w:val="18"/>
              </w:rPr>
              <w:t>Framework US anchor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Beta (levered)</w:t>
            </w:r>
          </w:p>
        </w:tc>
        <w:tc>
          <w:tcPr>
            <w:tcW w:type="dxa" w:w="1752"/>
          </w:tcPr>
          <w:p>
            <w:r>
              <w:rPr>
                <w:sz w:val="18"/>
              </w:rPr>
              <w:t>2.21</w:t>
            </w:r>
          </w:p>
        </w:tc>
        <w:tc>
          <w:tcPr>
            <w:tcW w:type="dxa" w:w="5257"/>
          </w:tcPr>
          <w:p>
            <w:r>
              <w:rPr>
                <w:sz w:val="18"/>
              </w:rPr>
              <w:t>yfinance, current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Cost of equity</w:t>
            </w:r>
          </w:p>
        </w:tc>
        <w:tc>
          <w:tcPr>
            <w:tcW w:type="dxa" w:w="1752"/>
          </w:tcPr>
          <w:p>
            <w:r>
              <w:rPr>
                <w:sz w:val="18"/>
              </w:rPr>
              <w:t>15.21%</w:t>
            </w:r>
          </w:p>
        </w:tc>
        <w:tc>
          <w:tcPr>
            <w:tcW w:type="dxa" w:w="5257"/>
          </w:tcPr>
          <w:p>
            <w:r>
              <w:rPr>
                <w:sz w:val="18"/>
              </w:rPr>
              <w:t>5.27% + 2.21 × 4.50%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Cost of debt (pre-tax)</w:t>
            </w:r>
          </w:p>
        </w:tc>
        <w:tc>
          <w:tcPr>
            <w:tcW w:type="dxa" w:w="1752"/>
          </w:tcPr>
          <w:p>
            <w:r>
              <w:rPr>
                <w:sz w:val="18"/>
              </w:rPr>
              <w:t>7.27%</w:t>
            </w:r>
          </w:p>
        </w:tc>
        <w:tc>
          <w:tcPr>
            <w:tcW w:type="dxa" w:w="5257"/>
          </w:tcPr>
          <w:p>
            <w:r>
              <w:rPr>
                <w:sz w:val="18"/>
              </w:rPr>
              <w:t>Risk-free + ~200bp (convertible coupons of 0–1.25% understate economic cost)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Tax rate</w:t>
            </w:r>
          </w:p>
        </w:tc>
        <w:tc>
          <w:tcPr>
            <w:tcW w:type="dxa" w:w="1752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5257"/>
          </w:tcPr>
          <w:p>
            <w:r>
              <w:rPr>
                <w:sz w:val="18"/>
              </w:rPr>
              <w:t>Blended statutory proxy; NOLs likely lower near-term cash tax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E/V</w:t>
            </w:r>
          </w:p>
        </w:tc>
        <w:tc>
          <w:tcPr>
            <w:tcW w:type="dxa" w:w="1752"/>
          </w:tcPr>
          <w:p>
            <w:r>
              <w:rPr>
                <w:sz w:val="18"/>
              </w:rPr>
              <w:t>85.6%</w:t>
            </w:r>
          </w:p>
        </w:tc>
        <w:tc>
          <w:tcPr>
            <w:tcW w:type="dxa" w:w="5257"/>
          </w:tcPr>
          <w:p>
            <w:r>
              <w:rPr>
                <w:sz w:val="18"/>
              </w:rPr>
              <w:t>Market cap $20.37B / (+ debt $3.42B)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WACC</w:t>
            </w:r>
          </w:p>
        </w:tc>
        <w:tc>
          <w:tcPr>
            <w:tcW w:type="dxa" w:w="1752"/>
          </w:tcPr>
          <w:p>
            <w:r>
              <w:rPr>
                <w:sz w:val="18"/>
              </w:rPr>
              <w:t>13.81%</w:t>
            </w:r>
          </w:p>
        </w:tc>
        <w:tc>
          <w:tcPr>
            <w:tcW w:type="dxa" w:w="5257"/>
          </w:tcPr>
          <w:p>
            <w:r>
              <w:rPr>
                <w:sz w:val="18"/>
              </w:rPr>
              <w:t>Up from 13.58% at the prior report (rates)</w:t>
            </w:r>
          </w:p>
        </w:tc>
      </w:tr>
    </w:tbl>
    <w:p/>
    <w:p>
      <w:pPr>
        <w:pStyle w:val="Heading2"/>
      </w:pPr>
      <w:r>
        <w:t>ROE vs cost of equity</w:t>
      </w:r>
    </w:p>
    <w:p>
      <w:r>
        <w:rPr>
          <w:b w:val="0"/>
          <w:i w:val="0"/>
        </w:rPr>
        <w:t>TTM ROE 7.09% vs cost of equity 15.21% — a spread of about −8.1pp. Even the FY2026 guided adjusted net income ($825M) on current book ($11.09B) is ≈7.4% ROE. Value is being consumed, not created, at today's cost of capital.</w:t>
      </w:r>
    </w:p>
    <w:p>
      <w:pPr>
        <w:pStyle w:val="Heading2"/>
      </w:pPr>
      <w:r>
        <w:t>Scenarios — 5-year explicit forecast + Key-Value-Driver terminal value (g = 3%)</w:t>
      </w:r>
    </w:p>
    <w:p>
      <w:r>
        <w:rPr>
          <w:b w:val="0"/>
          <w:i w:val="0"/>
        </w:rPr>
        <w:t>Base revenue FY2025 $3,583M. Growth declines linearly over 5 years; NOPLAT margin rises linearly; reinvestment = growth ÷ ROIC proxy. Same WACC in all scenarios.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18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81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Growth Y1→Y5</w:t>
            </w:r>
          </w:p>
        </w:tc>
        <w:tc>
          <w:tcPr>
            <w:tcW w:type="dxa" w:w="181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NOPLAT margin Y1→Y5</w:t>
            </w:r>
          </w:p>
        </w:tc>
        <w:tc>
          <w:tcPr>
            <w:tcW w:type="dxa" w:w="118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ROIC proxy</w:t>
            </w:r>
          </w:p>
        </w:tc>
        <w:tc>
          <w:tcPr>
            <w:tcW w:type="dxa" w:w="136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Revenue Y5</w:t>
            </w:r>
          </w:p>
        </w:tc>
        <w:tc>
          <w:tcPr>
            <w:tcW w:type="dxa" w:w="109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TV % of EV</w:t>
            </w:r>
          </w:p>
        </w:tc>
        <w:tc>
          <w:tcPr>
            <w:tcW w:type="dxa" w:w="118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Value / share</w:t>
            </w:r>
          </w:p>
        </w:tc>
      </w:tr>
      <w:tr>
        <w:tc>
          <w:tcPr>
            <w:tcW w:type="dxa" w:w="1182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818"/>
          </w:tcPr>
          <w:p>
            <w:r>
              <w:rPr>
                <w:sz w:val="18"/>
              </w:rPr>
              <w:t>23.8% → 9.1%</w:t>
            </w:r>
          </w:p>
        </w:tc>
        <w:tc>
          <w:tcPr>
            <w:tcW w:type="dxa" w:w="1818"/>
          </w:tcPr>
          <w:p>
            <w:r>
              <w:rPr>
                <w:sz w:val="18"/>
              </w:rPr>
              <w:t>9% → 13%</w:t>
            </w:r>
          </w:p>
        </w:tc>
        <w:tc>
          <w:tcPr>
            <w:tcW w:type="dxa" w:w="1182"/>
          </w:tcPr>
          <w:p>
            <w:r>
              <w:rPr>
                <w:sz w:val="18"/>
              </w:rPr>
              <w:t>12.81%</w:t>
            </w:r>
          </w:p>
        </w:tc>
        <w:tc>
          <w:tcPr>
            <w:tcW w:type="dxa" w:w="1364"/>
          </w:tcPr>
          <w:p>
            <w:r>
              <w:rPr>
                <w:sz w:val="18"/>
              </w:rPr>
              <w:t>$7,634M</w:t>
            </w:r>
          </w:p>
        </w:tc>
        <w:tc>
          <w:tcPr>
            <w:tcW w:type="dxa" w:w="1091"/>
          </w:tcPr>
          <w:p>
            <w:r>
              <w:rPr>
                <w:sz w:val="18"/>
              </w:rPr>
              <w:t>111%</w:t>
            </w:r>
          </w:p>
        </w:tc>
        <w:tc>
          <w:tcPr>
            <w:tcW w:type="dxa" w:w="1182"/>
          </w:tcPr>
          <w:p>
            <w:r>
              <w:rPr>
                <w:sz w:val="18"/>
              </w:rPr>
              <w:t>$2.62</w:t>
            </w:r>
          </w:p>
        </w:tc>
      </w:tr>
      <w:tr>
        <w:tc>
          <w:tcPr>
            <w:tcW w:type="dxa" w:w="1182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818"/>
          </w:tcPr>
          <w:p>
            <w:r>
              <w:rPr>
                <w:sz w:val="18"/>
              </w:rPr>
              <w:t>34.0% → 13.0%</w:t>
            </w:r>
          </w:p>
        </w:tc>
        <w:tc>
          <w:tcPr>
            <w:tcW w:type="dxa" w:w="1818"/>
          </w:tcPr>
          <w:p>
            <w:r>
              <w:rPr>
                <w:sz w:val="18"/>
              </w:rPr>
              <w:t>12% → 16%</w:t>
            </w:r>
          </w:p>
        </w:tc>
        <w:tc>
          <w:tcPr>
            <w:tcW w:type="dxa" w:w="1182"/>
          </w:tcPr>
          <w:p>
            <w:r>
              <w:rPr>
                <w:sz w:val="18"/>
              </w:rPr>
              <w:t>15.00%</w:t>
            </w:r>
          </w:p>
        </w:tc>
        <w:tc>
          <w:tcPr>
            <w:tcW w:type="dxa" w:w="1364"/>
          </w:tcPr>
          <w:p>
            <w:r>
              <w:rPr>
                <w:sz w:val="18"/>
              </w:rPr>
              <w:t>$10,201M</w:t>
            </w:r>
          </w:p>
        </w:tc>
        <w:tc>
          <w:tcPr>
            <w:tcW w:type="dxa" w:w="1091"/>
          </w:tcPr>
          <w:p>
            <w:r>
              <w:rPr>
                <w:sz w:val="18"/>
              </w:rPr>
              <w:t>118%</w:t>
            </w:r>
          </w:p>
        </w:tc>
        <w:tc>
          <w:tcPr>
            <w:tcW w:type="dxa" w:w="1182"/>
          </w:tcPr>
          <w:p>
            <w:r>
              <w:rPr>
                <w:sz w:val="18"/>
              </w:rPr>
              <w:t>$4.25</w:t>
            </w:r>
          </w:p>
        </w:tc>
      </w:tr>
      <w:tr>
        <w:tc>
          <w:tcPr>
            <w:tcW w:type="dxa" w:w="1182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818"/>
          </w:tcPr>
          <w:p>
            <w:r>
              <w:rPr>
                <w:sz w:val="18"/>
              </w:rPr>
              <w:t>44.2% → 16.9%</w:t>
            </w:r>
          </w:p>
        </w:tc>
        <w:tc>
          <w:tcPr>
            <w:tcW w:type="dxa" w:w="1818"/>
          </w:tcPr>
          <w:p>
            <w:r>
              <w:rPr>
                <w:sz w:val="18"/>
              </w:rPr>
              <w:t>14% → 18%</w:t>
            </w:r>
          </w:p>
        </w:tc>
        <w:tc>
          <w:tcPr>
            <w:tcW w:type="dxa" w:w="1182"/>
          </w:tcPr>
          <w:p>
            <w:r>
              <w:rPr>
                <w:sz w:val="18"/>
              </w:rPr>
              <w:t>16.81%</w:t>
            </w:r>
          </w:p>
        </w:tc>
        <w:tc>
          <w:tcPr>
            <w:tcW w:type="dxa" w:w="1364"/>
          </w:tcPr>
          <w:p>
            <w:r>
              <w:rPr>
                <w:sz w:val="18"/>
              </w:rPr>
              <w:t>$13,402M</w:t>
            </w:r>
          </w:p>
        </w:tc>
        <w:tc>
          <w:tcPr>
            <w:tcW w:type="dxa" w:w="1091"/>
          </w:tcPr>
          <w:p>
            <w:r>
              <w:rPr>
                <w:sz w:val="18"/>
              </w:rPr>
              <w:t>121%</w:t>
            </w:r>
          </w:p>
        </w:tc>
        <w:tc>
          <w:tcPr>
            <w:tcW w:type="dxa" w:w="1182"/>
          </w:tcPr>
          <w:p>
            <w:r>
              <w:rPr>
                <w:sz w:val="18"/>
              </w:rPr>
              <w:t>$6.29</w:t>
            </w:r>
          </w:p>
        </w:tc>
      </w:tr>
    </w:tbl>
    <w:p/>
    <w:p>
      <w:r>
        <w:rPr>
          <w:b w:val="0"/>
          <w:i w:val="0"/>
        </w:rPr>
        <w:t>Terminal value exceeds 100% of EV in every scenario (explicit-period FCFF is negative because growth outruns the ROIC proxy). Per the framework's red-flag rule (TV &gt; 90% of EV), all three carry LOW confidence on the mechanical method alone.</w:t>
      </w:r>
    </w:p>
    <w:p>
      <w:pPr>
        <w:pStyle w:val="Heading2"/>
      </w:pPr>
      <w:r>
        <w:t>MoS Gate</w:t>
      </w:r>
    </w:p>
    <w:p>
      <w:r>
        <w:rPr>
          <w:b/>
          <w:i w:val="0"/>
        </w:rPr>
        <w:t>NONE. $15.77 is 2.5x the Bull case ($6.29).</w:t>
      </w:r>
    </w:p>
    <w:p>
      <w:pPr>
        <w:pStyle w:val="Heading2"/>
      </w:pPr>
      <w:r>
        <w:t>Cross-check 1 — Residual income (bank method)</w:t>
      </w:r>
    </w:p>
    <w:p>
      <w:r>
        <w:rPr>
          <w:b w:val="0"/>
          <w:i w:val="0"/>
        </w:rPr>
        <w:t>Book value $11.09B ($8.58/share); ROE path 7.5% → 8.5% → 10% → 12% → 14%, full retention, terminal ROE 15%, g 3%, discounted at the cost of equity 15.21%.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9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Opening book ($M)</w:t>
            </w:r>
          </w:p>
        </w:tc>
        <w:tc>
          <w:tcPr>
            <w:tcW w:type="dxa" w:w="96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ROE</w:t>
            </w:r>
          </w:p>
        </w:tc>
        <w:tc>
          <w:tcPr>
            <w:tcW w:type="dxa" w:w="19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Net income ($M)</w:t>
            </w:r>
          </w:p>
        </w:tc>
        <w:tc>
          <w:tcPr>
            <w:tcW w:type="dxa" w:w="19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Residual income ($M)</w:t>
            </w:r>
          </w:p>
        </w:tc>
        <w:tc>
          <w:tcPr>
            <w:tcW w:type="dxa" w:w="19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PV of RI ($M)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11,087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7.5%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832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-854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-742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11,918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8.5%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1,013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-799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-602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12,931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10.0%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1,293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-673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-440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14,225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12.0%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1,707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-456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-259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15,931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14.0%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2,230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-192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-95</w:t>
            </w:r>
          </w:p>
        </w:tc>
      </w:tr>
    </w:tbl>
    <w:p/>
    <w:p>
      <w:r>
        <w:rPr>
          <w:b w:val="0"/>
          <w:i w:val="0"/>
        </w:rPr>
        <w:t>Equity value = $11,087M book + ($-2,138M) PV of RI + ($-151M) PV of terminal RI ≈ $6.81/share. Terminal RI is now negative: a 15% terminal ROE no longer clears the 15.21% cost of equity.</w:t>
      </w:r>
    </w:p>
    <w:p>
      <w:pPr>
        <w:pStyle w:val="Heading2"/>
      </w:pPr>
      <w:r>
        <w:t>Cross-check 2 — P/TBV vs ROTE</w:t>
      </w:r>
    </w:p>
    <w:p>
      <w:r>
        <w:rPr>
          <w:b w:val="0"/>
          <w:i w:val="0"/>
        </w:rPr>
        <w:t>Tangible book ≈ $9,693M ($7.50/share); P/TBV 2.10x; ROTE (TTM) 6.56%. The framework's Banks appendix calls 1.5x P/TBV at 10% ROTE 'expensive'; SoFi trades at a higher multiple on a lower return.</w:t>
      </w:r>
    </w:p>
    <w:p>
      <w:pPr>
        <w:pStyle w:val="Heading2"/>
      </w:pPr>
      <w:r>
        <w:t>Sensitivity — WACC × terminal growth (Base case, $/share)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21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6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1.5%</w:t>
            </w:r>
          </w:p>
        </w:tc>
        <w:tc>
          <w:tcPr>
            <w:tcW w:type="dxa" w:w="16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2.0%</w:t>
            </w:r>
          </w:p>
        </w:tc>
        <w:tc>
          <w:tcPr>
            <w:tcW w:type="dxa" w:w="16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2.5%</w:t>
            </w:r>
          </w:p>
        </w:tc>
        <w:tc>
          <w:tcPr>
            <w:tcW w:type="dxa" w:w="16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3.0%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10.00%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$7.57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$7.81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$8.08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$8.38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11.50%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$5.86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$5.99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$6.12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$6.27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13.81%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$4.11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$4.15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$4.20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$4.25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15.00%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$3.47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$3.49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$3.51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$3.53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16.50%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$2.82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$2.83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$2.83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$2.83</w:t>
            </w:r>
          </w:p>
        </w:tc>
      </w:tr>
    </w:tbl>
    <w:p/>
    <w:p>
      <w:pPr>
        <w:pStyle w:val="Heading2"/>
      </w:pPr>
      <w:r>
        <w:t>Sensitivity — Year-5 revenue × Year-5 NOPLAT margin (Base case, $/share)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75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Rev Y5 \ Margin Y5</w:t>
            </w:r>
          </w:p>
        </w:tc>
        <w:tc>
          <w:tcPr>
            <w:tcW w:type="dxa" w:w="137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12%</w:t>
            </w:r>
          </w:p>
        </w:tc>
        <w:tc>
          <w:tcPr>
            <w:tcW w:type="dxa" w:w="137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14%</w:t>
            </w:r>
          </w:p>
        </w:tc>
        <w:tc>
          <w:tcPr>
            <w:tcW w:type="dxa" w:w="137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16%</w:t>
            </w:r>
          </w:p>
        </w:tc>
        <w:tc>
          <w:tcPr>
            <w:tcW w:type="dxa" w:w="137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18%</w:t>
            </w:r>
          </w:p>
        </w:tc>
        <w:tc>
          <w:tcPr>
            <w:tcW w:type="dxa" w:w="137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20%</w:t>
            </w:r>
          </w:p>
        </w:tc>
      </w:tr>
      <w:tr>
        <w:tc>
          <w:tcPr>
            <w:tcW w:type="dxa" w:w="2754"/>
          </w:tcPr>
          <w:p>
            <w:r>
              <w:rPr>
                <w:sz w:val="18"/>
              </w:rPr>
              <w:t>$7,500M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$2.68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$3.19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$3.69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$4.19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$4.70</w:t>
            </w:r>
          </w:p>
        </w:tc>
      </w:tr>
      <w:tr>
        <w:tc>
          <w:tcPr>
            <w:tcW w:type="dxa" w:w="2754"/>
          </w:tcPr>
          <w:p>
            <w:r>
              <w:rPr>
                <w:sz w:val="18"/>
              </w:rPr>
              <w:t>$8,500M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$2.80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$3.34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$3.88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$4.42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$4.95</w:t>
            </w:r>
          </w:p>
        </w:tc>
      </w:tr>
      <w:tr>
        <w:tc>
          <w:tcPr>
            <w:tcW w:type="dxa" w:w="2754"/>
          </w:tcPr>
          <w:p>
            <w:r>
              <w:rPr>
                <w:sz w:val="18"/>
              </w:rPr>
              <w:t>$10,201M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$3.05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$3.65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$4.25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$4.85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$5.44</w:t>
            </w:r>
          </w:p>
        </w:tc>
      </w:tr>
      <w:tr>
        <w:tc>
          <w:tcPr>
            <w:tcW w:type="dxa" w:w="2754"/>
          </w:tcPr>
          <w:p>
            <w:r>
              <w:rPr>
                <w:sz w:val="18"/>
              </w:rPr>
              <w:t>$10,500M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$3.10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$3.72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$4.33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$4.94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$5.55</w:t>
            </w:r>
          </w:p>
        </w:tc>
      </w:tr>
      <w:tr>
        <w:tc>
          <w:tcPr>
            <w:tcW w:type="dxa" w:w="2754"/>
          </w:tcPr>
          <w:p>
            <w:r>
              <w:rPr>
                <w:sz w:val="18"/>
              </w:rPr>
              <w:t>$11,500M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$3.29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$3.93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$4.58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$5.23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$5.88</w:t>
            </w:r>
          </w:p>
        </w:tc>
      </w:tr>
    </w:tbl>
    <w:p/>
    <w:p>
      <w:r>
        <w:rPr>
          <w:b w:val="0"/>
          <w:i w:val="0"/>
        </w:rPr>
        <w:t>Even a 10% WACC with 3% terminal growth reaches only $8.38; margin matters more than revenue scale. The conclusion is not an artefact of today's elevated rates and beta.</w:t>
      </w:r>
    </w:p>
    <w:p>
      <w:pPr>
        <w:pStyle w:val="Heading1"/>
      </w:pPr>
      <w:r>
        <w:t>6. Mauboussin — Price-Implied Expectations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81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What the $15.77 price requires (everything else at base)</w:t>
            </w:r>
          </w:p>
        </w:tc>
        <w:tc>
          <w:tcPr>
            <w:tcW w:type="dxa" w:w="19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Implied value</w:t>
            </w:r>
          </w:p>
        </w:tc>
        <w:tc>
          <w:tcPr>
            <w:tcW w:type="dxa" w:w="289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Today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Terminal ROE in the residual-income model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30.8%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7.1% ROE (TTM)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Cost of equity, with 15% terminal ROE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9.7%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15.2% (beta 2.21, 10Y 5.27%)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WACC in the Base DCF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7.3%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13.8%</w:t>
            </w:r>
          </w:p>
        </w:tc>
      </w:tr>
    </w:tbl>
    <w:p/>
    <w:p>
      <w:pPr>
        <w:pStyle w:val="ListBullet"/>
      </w:pPr>
      <w:r>
        <w:t>The price needs either a terminal ROE roughly 4x today's level (≈31% — top-decile bank returns), or a cost of equity of ~9.7%, i.e. beta falling from 2.2 to ~1 and rates normalizing together. Both exceed base rates by well over the framework's 1.5x flag threshold.</w:t>
      </w:r>
    </w:p>
    <w:p>
      <w:pPr>
        <w:pStyle w:val="ListBullet"/>
      </w:pPr>
      <w:r>
        <w:t>Base-rate check on the FY2026 guide: +81% adjusted net income on +32–35% revenue. The framework's rule of thumb is that companies deliver ~half of guided margin expansion — that would put adjusted net income near $600–650M rather than $825M. The Q3 print on 2026-10-27 is the first real test.</w:t>
      </w:r>
    </w:p>
    <w:p>
      <w:pPr>
        <w:pStyle w:val="ListBullet"/>
      </w:pPr>
      <w:r>
        <w:t>Moat / CAP: narrow — counter-positioning versus branch-based banks plus mild switching costs (direct deposit, 1.54 products/member); CAP 3–7 years. Conditional, not yet earned: returns are still below the cost of equity.</w:t>
      </w:r>
    </w:p>
    <w:p>
      <w:pPr>
        <w:pStyle w:val="Heading1"/>
      </w:pPr>
      <w:r>
        <w:t>7. Fisher — Qualitative Checklist</w:t>
      </w:r>
    </w:p>
    <w:p>
      <w:pPr>
        <w:pStyle w:val="ListBullet"/>
      </w:pPr>
      <w:r>
        <w:rPr>
          <w:b/>
        </w:rPr>
        <w:t xml:space="preserve">#5/#6 margins: </w:t>
      </w:r>
      <w:r>
        <w:t>positive trend — GAAP net margin −53.65% (FY2021) → 14.91% (TTM); adjusted EBITDA margin ~3% → ~31%; not monotonic (FY2024 18.13% → FY2025 13.43%).</w:t>
      </w:r>
    </w:p>
    <w:p>
      <w:pPr>
        <w:pStyle w:val="ListBullet"/>
      </w:pPr>
      <w:r>
        <w:rPr>
          <w:b/>
        </w:rPr>
        <w:t xml:space="preserve">#11 competitive edge: </w:t>
      </w:r>
      <w:r>
        <w:t>the charter (deposit funding) is the structural edge; NIM 5.98% vs 2.5–3.5% for large banks, mostly because the personal-loan book yields ~13%. The Tech Platform's client loss shows no pricing power there.</w:t>
      </w:r>
    </w:p>
    <w:p>
      <w:pPr>
        <w:pStyle w:val="ListBullet"/>
      </w:pPr>
      <w:r>
        <w:rPr>
          <w:b/>
        </w:rPr>
        <w:t xml:space="preserve">#13 dilution: </w:t>
      </w:r>
      <w:r>
        <w:t>a live concern — +16.1% shares in FY2025 from $3.3B of raises; SBC $262M/yr.</w:t>
      </w:r>
    </w:p>
    <w:p>
      <w:pPr>
        <w:pStyle w:val="ListBullet"/>
      </w:pPr>
      <w:r>
        <w:rPr>
          <w:b/>
        </w:rPr>
        <w:t xml:space="preserve">#15 management integrity: </w:t>
      </w:r>
      <w:r>
        <w:t>supportive — CEO's 36 open-market buys and 0 sales; offset by a PSU design tied to absolute tangible-book growth that equity issuance can inflate (Section 13, MGT-2).</w:t>
      </w:r>
    </w:p>
    <w:p>
      <w:pPr>
        <w:pStyle w:val="Heading1"/>
      </w:pPr>
      <w:r>
        <w:t>8. Ilmanen — Factor 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771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Read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ABSENT — P/S 4.77x, P/TBV 2.10x, EV/Revenue ≈4.8x; above lending-fintech peers' 2–4x; all three valuation methods below price.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Quality / Profitability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PRESENT but young — two GAAP-profitable years; ROE (7.1%) far below cost of equity.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NEGATIVE — −51.8% from 52-week high, below 50/200-day averages, RSI 23.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Low Beta / Defensive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ABSENT — beta 2.21.</w:t>
            </w:r>
          </w:p>
        </w:tc>
      </w:tr>
    </w:tbl>
    <w:p/>
    <w:p>
      <w:r>
        <w:rPr>
          <w:b w:val="0"/>
          <w:i w:val="0"/>
        </w:rPr>
        <w:t>No overlapping factor tailwind: a single-factor growth bet with value, momentum and low-beta all working against it.</w:t>
      </w:r>
    </w:p>
    <w:p>
      <w:pPr>
        <w:pStyle w:val="Heading1"/>
      </w:pPr>
      <w:r>
        <w:t>9. Quality Compounder Screen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7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29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55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780"/>
          </w:tcPr>
          <w:p>
            <w:r>
              <w:rPr>
                <w:sz w:val="18"/>
              </w:rPr>
              <w:t>ROIC 5-yr avg &gt; 15% (ROE proxy)</w:t>
            </w:r>
          </w:p>
        </w:tc>
        <w:tc>
          <w:tcPr>
            <w:tcW w:type="dxa" w:w="1297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5560"/>
          </w:tcPr>
          <w:p>
            <w:r>
              <w:rPr>
                <w:sz w:val="18"/>
              </w:rPr>
              <w:t>5-yr avg ≈ −2.0% (−12.42, −6.27, −5.43, +8.26, +5.66)</w:t>
            </w:r>
          </w:p>
        </w:tc>
      </w:tr>
      <w:tr>
        <w:tc>
          <w:tcPr>
            <w:tcW w:type="dxa" w:w="2780"/>
          </w:tcPr>
          <w:p>
            <w:r>
              <w:rPr>
                <w:sz w:val="18"/>
              </w:rPr>
              <w:t>ROIC trend stable/improving</w:t>
            </w:r>
          </w:p>
        </w:tc>
        <w:tc>
          <w:tcPr>
            <w:tcW w:type="dxa" w:w="1297"/>
          </w:tcPr>
          <w:p>
            <w:r>
              <w:rPr>
                <w:sz w:val="18"/>
              </w:rPr>
              <w:t>FAIL (mixed)</w:t>
            </w:r>
          </w:p>
        </w:tc>
        <w:tc>
          <w:tcPr>
            <w:tcW w:type="dxa" w:w="5560"/>
          </w:tcPr>
          <w:p>
            <w:r>
              <w:rPr>
                <w:sz w:val="18"/>
              </w:rPr>
              <w:t>Improving over 5 years but FY2025 5.66% &lt; FY2024 8.26%; TTM 7.09%</w:t>
            </w:r>
          </w:p>
        </w:tc>
      </w:tr>
      <w:tr>
        <w:tc>
          <w:tcPr>
            <w:tcW w:type="dxa" w:w="2780"/>
          </w:tcPr>
          <w:p>
            <w:r>
              <w:rPr>
                <w:sz w:val="18"/>
              </w:rPr>
              <w:t>Operating margin &gt; 15%</w:t>
            </w:r>
          </w:p>
        </w:tc>
        <w:tc>
          <w:tcPr>
            <w:tcW w:type="dxa" w:w="1297"/>
          </w:tcPr>
          <w:p>
            <w:r>
              <w:rPr>
                <w:sz w:val="18"/>
              </w:rPr>
              <w:t>FAIL (borderline)</w:t>
            </w:r>
          </w:p>
        </w:tc>
        <w:tc>
          <w:tcPr>
            <w:tcW w:type="dxa" w:w="5560"/>
          </w:tcPr>
          <w:p>
            <w:r>
              <w:rPr>
                <w:sz w:val="18"/>
              </w:rPr>
              <w:t>GAAP net margin TTM 14.91% (adj. EBITDA 31% overstates)</w:t>
            </w:r>
          </w:p>
        </w:tc>
      </w:tr>
      <w:tr>
        <w:tc>
          <w:tcPr>
            <w:tcW w:type="dxa" w:w="2780"/>
          </w:tcPr>
          <w:p>
            <w:r>
              <w:rPr>
                <w:sz w:val="18"/>
              </w:rPr>
              <w:t>FCF / NI &gt; 80%</w:t>
            </w:r>
          </w:p>
        </w:tc>
        <w:tc>
          <w:tcPr>
            <w:tcW w:type="dxa" w:w="1297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5560"/>
          </w:tcPr>
          <w:p>
            <w:r>
              <w:rPr>
                <w:sz w:val="18"/>
              </w:rPr>
              <w:t>TTM FCF −$8.8B vs NI +$636M (lender accounting, but fails as defined)</w:t>
            </w:r>
          </w:p>
        </w:tc>
      </w:tr>
      <w:tr>
        <w:tc>
          <w:tcPr>
            <w:tcW w:type="dxa" w:w="2780"/>
          </w:tcPr>
          <w:p>
            <w:r>
              <w:rPr>
                <w:sz w:val="18"/>
              </w:rPr>
              <w:t>CapEx / Revenue &lt; 10%</w:t>
            </w:r>
          </w:p>
        </w:tc>
        <w:tc>
          <w:tcPr>
            <w:tcW w:type="dxa" w:w="1297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5560"/>
          </w:tcPr>
          <w:p>
            <w:r>
              <w:rPr>
                <w:sz w:val="18"/>
              </w:rPr>
              <w:t>TTM $290.5M / $4,268M = 6.8%</w:t>
            </w:r>
          </w:p>
        </w:tc>
      </w:tr>
      <w:tr>
        <w:tc>
          <w:tcPr>
            <w:tcW w:type="dxa" w:w="2780"/>
          </w:tcPr>
          <w:p>
            <w:r>
              <w:rPr>
                <w:sz w:val="18"/>
              </w:rPr>
              <w:t>Self-funded growth (dilution &lt; 3%/yr)</w:t>
            </w:r>
          </w:p>
        </w:tc>
        <w:tc>
          <w:tcPr>
            <w:tcW w:type="dxa" w:w="1297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5560"/>
          </w:tcPr>
          <w:p>
            <w:r>
              <w:rPr>
                <w:sz w:val="18"/>
              </w:rPr>
              <w:t>FY2025 +16.1% (equity raises); +56% since FY2021</w:t>
            </w:r>
          </w:p>
        </w:tc>
      </w:tr>
      <w:tr>
        <w:tc>
          <w:tcPr>
            <w:tcW w:type="dxa" w:w="2780"/>
          </w:tcPr>
          <w:p>
            <w:r>
              <w:rPr>
                <w:sz w:val="18"/>
              </w:rPr>
              <w:t>Management ownership &gt; 0.5%</w:t>
            </w:r>
          </w:p>
        </w:tc>
        <w:tc>
          <w:tcPr>
            <w:tcW w:type="dxa" w:w="1297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5560"/>
          </w:tcPr>
          <w:p>
            <w:r>
              <w:rPr>
                <w:sz w:val="18"/>
              </w:rPr>
              <w:t>CEO ~11.96M shares ≈ 0.93%, built via open-market buys</w:t>
            </w:r>
          </w:p>
        </w:tc>
      </w:tr>
      <w:tr>
        <w:tc>
          <w:tcPr>
            <w:tcW w:type="dxa" w:w="2780"/>
          </w:tcPr>
          <w:p>
            <w:r>
              <w:rPr>
                <w:sz w:val="18"/>
              </w:rPr>
              <w:t>Buyback discipline</w:t>
            </w:r>
          </w:p>
        </w:tc>
        <w:tc>
          <w:tcPr>
            <w:tcW w:type="dxa" w:w="1297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5560"/>
          </w:tcPr>
          <w:p>
            <w:r>
              <w:rPr>
                <w:sz w:val="18"/>
              </w:rPr>
              <w:t>No buyback; issued equity instead (well-timed at $20.85 and $27.50)</w:t>
            </w:r>
          </w:p>
        </w:tc>
      </w:tr>
      <w:tr>
        <w:tc>
          <w:tcPr>
            <w:tcW w:type="dxa" w:w="2780"/>
          </w:tcPr>
          <w:p>
            <w:r>
              <w:rPr>
                <w:sz w:val="18"/>
              </w:rPr>
              <w:t>M&amp;A discipline</w:t>
            </w:r>
          </w:p>
        </w:tc>
        <w:tc>
          <w:tcPr>
            <w:tcW w:type="dxa" w:w="1297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5560"/>
          </w:tcPr>
          <w:p>
            <w:r>
              <w:rPr>
                <w:sz w:val="18"/>
              </w:rPr>
              <w:t>Technisys: $1.3B goodwill in a segment with −23% YoY revenue and 14% contribution margin</w:t>
            </w:r>
          </w:p>
        </w:tc>
      </w:tr>
    </w:tbl>
    <w:p/>
    <w:p>
      <w:r>
        <w:rPr>
          <w:b w:val="0"/>
          <w:i w:val="0"/>
        </w:rPr>
        <w:t>2 PASS / 7 FAIL → TRADE ONLY. Track C conviction rules do not trigger SKIP (growth 32–35%, no deceleration, no runway issue): the growth story is intact; the label is a returns-and-price verdict.</w:t>
      </w:r>
    </w:p>
    <w:p>
      <w:pPr>
        <w:pStyle w:val="Heading1"/>
      </w:pPr>
      <w:r>
        <w:t>10. Sector Appendix — Fintech &amp; Payments (Banks cross-check)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37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85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Read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Volume growth (originations)</w:t>
            </w:r>
          </w:p>
        </w:tc>
        <w:tc>
          <w:tcPr>
            <w:tcW w:type="dxa" w:w="3373"/>
          </w:tcPr>
          <w:p>
            <w:r>
              <w:rPr>
                <w:sz w:val="18"/>
              </w:rPr>
              <w:t>$14.8B Q2 2026, +69% YoY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Strong (&gt;25%)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Take-rate proxy (NIM)</w:t>
            </w:r>
          </w:p>
        </w:tc>
        <w:tc>
          <w:tcPr>
            <w:tcW w:type="dxa" w:w="3373"/>
          </w:tcPr>
          <w:p>
            <w:r>
              <w:rPr>
                <w:sz w:val="18"/>
              </w:rPr>
              <w:t>5.98% (2026) vs 5.72–5.8% (2025)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Expanding; driven by ~13% personal-loan coupon + deposit remix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ARPU</w:t>
            </w:r>
          </w:p>
        </w:tc>
        <w:tc>
          <w:tcPr>
            <w:tcW w:type="dxa" w:w="3373"/>
          </w:tcPr>
          <w:p>
            <w:r>
              <w:rPr>
                <w:sz w:val="18"/>
              </w:rPr>
              <w:t>≈$270/member (TTM rev $4,268M / 15.8M)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Revenue (+41%) outgrowing members (+35%)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Cross-sell</w:t>
            </w:r>
          </w:p>
        </w:tc>
        <w:tc>
          <w:tcPr>
            <w:tcW w:type="dxa" w:w="3373"/>
          </w:tcPr>
          <w:p>
            <w:r>
              <w:rPr>
                <w:sz w:val="18"/>
              </w:rPr>
              <w:t>1.54 products/member; 51% of new products from existing members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Improving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LTV / CAC</w:t>
            </w:r>
          </w:p>
        </w:tc>
        <w:tc>
          <w:tcPr>
            <w:tcW w:type="dxa" w:w="3373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No data — not imputed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Credit (personal loans)</w:t>
            </w:r>
          </w:p>
        </w:tc>
        <w:tc>
          <w:tcPr>
            <w:tcW w:type="dxa" w:w="3373"/>
          </w:tcPr>
          <w:p>
            <w:r>
              <w:rPr>
                <w:sz w:val="18"/>
              </w:rPr>
              <w:t>NCO 2.62% (−21bp YoY); 90-day DQ 40bp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Improving, heading into a weaker labour market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Rate sensitivity</w:t>
            </w:r>
          </w:p>
        </w:tc>
        <w:tc>
          <w:tcPr>
            <w:tcW w:type="dxa" w:w="3373"/>
          </w:tcPr>
          <w:p>
            <w:r>
              <w:rPr>
                <w:sz w:val="18"/>
              </w:rPr>
              <w:t>Q1 2026 NII $693.0M (+39% YoY)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Hikes pressure fair-value loan marks; deposit remix offsets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Regulatory</w:t>
            </w:r>
          </w:p>
        </w:tc>
        <w:tc>
          <w:tcPr>
            <w:tcW w:type="dxa" w:w="3373"/>
          </w:tcPr>
          <w:p>
            <w:r>
              <w:rPr>
                <w:sz w:val="18"/>
              </w:rPr>
              <w:t>CFPB supervision since 2024-01-01; Citizens Bank lawsuit (mortgage staff)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Manageable, real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P/TBV vs ROTE</w:t>
            </w:r>
          </w:p>
        </w:tc>
        <w:tc>
          <w:tcPr>
            <w:tcW w:type="dxa" w:w="3373"/>
          </w:tcPr>
          <w:p>
            <w:r>
              <w:rPr>
                <w:sz w:val="18"/>
              </w:rPr>
              <w:t>2.10x vs 6.6%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Expensive vs the Banks reference (1.5x at 10%)</w:t>
            </w:r>
          </w:p>
        </w:tc>
      </w:tr>
    </w:tbl>
    <w:p/>
    <w:p>
      <w:pPr>
        <w:pStyle w:val="Heading1"/>
      </w:pPr>
      <w:r>
        <w:t>11. Five-Year Ratio Trend Analysis</w:t>
      </w:r>
    </w:p>
    <w:p>
      <w:pPr>
        <w:pStyle w:val="Heading2"/>
      </w:pPr>
      <w:r>
        <w:t>Base ratio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49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FY2021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FY2022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FY2025</w:t>
            </w:r>
          </w:p>
        </w:tc>
        <w:tc>
          <w:tcPr>
            <w:tcW w:type="dxa" w:w="147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TTM / current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Revenue ($M)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977.3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1,519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2,068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2,643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3,583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4,268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Revenue growth YoY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+72.8%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+55.4%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+36.1%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+27.8%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+35.6%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+40.9%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Adj. EBITDA margin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~3.1%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9.4%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20.9%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25.2%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~30.7%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~31.4%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Net margin (GAAP)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−53.65%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−23.75%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−16.50%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18.13%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13.43%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14.91%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ROE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−12.42%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−6.27%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−5.43%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8.26%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5.66%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7.09%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P/E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34.88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68.56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32.2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P/S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13.05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2.82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4.61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6.32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9.21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4.77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P/B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2.72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1.72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2.56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1.84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EV/Revenue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≈4.8x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EV/EBITDA (adj.)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≈15.4x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Debt/Equity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0.31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FCF margin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−143.5%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−484.1%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−354.9%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−48.2%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−111.2%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−206.2%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Shares (M)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828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934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976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1,095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1,271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1,291.6</w:t>
            </w:r>
          </w:p>
        </w:tc>
      </w:tr>
    </w:tbl>
    <w:p/>
    <w:p>
      <w:r>
        <w:rPr>
          <w:b w:val="0"/>
          <w:i/>
          <w:sz w:val="18"/>
        </w:rPr>
        <w:t>Historical series from stockanalysis.com (as in the 2026-09-17 report); TTM multiples recomputed at $15.77. FCF margin reflects loan funding through operating cash flow, not cash burn (Section 4).</w:t>
      </w:r>
    </w:p>
    <w:p>
      <w:pPr>
        <w:pStyle w:val="Heading2"/>
      </w:pPr>
      <w:r>
        <w:t>Interpretation</w:t>
      </w:r>
    </w:p>
    <w:p>
      <w:pPr>
        <w:pStyle w:val="ListBullet"/>
      </w:pPr>
      <w:r>
        <w:t>Multiples moved far more than fundamentals: P/S 2.82x → 9.21x → 4.77x while growth stayed in a 28–41% band — sentiment-driven pricing, consistent with Section 6.</w:t>
      </w:r>
    </w:p>
    <w:p>
      <w:pPr>
        <w:pStyle w:val="ListBullet"/>
      </w:pPr>
      <w:r>
        <w:t>Margins are the decision-relevant series: net margin −53.65% → 14.91% is the quality inflection; the FY2026 guide asks for much more of it in a single year.</w:t>
      </w:r>
    </w:p>
    <w:p>
      <w:pPr>
        <w:pStyle w:val="ListBullet"/>
      </w:pPr>
      <w:r>
        <w:t>Shares +16.1% in FY2025 — the dilution concern is current, not historical.</w:t>
      </w:r>
    </w:p>
    <w:p>
      <w:pPr>
        <w:pStyle w:val="Heading1"/>
      </w:pPr>
      <w:r>
        <w:t>12. Final Verdict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71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Ticker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SOFI (NASDAQ)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Track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C-FT (Fintech &amp; Payments, bank-charter hybrid; Banks cross-check)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Fast Grower (Lynch)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F-Score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≈59/100 (Track C: Value 20 × 15% + Quality 45 × 35% + Growth 80 × 50%)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F-Rating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FAIR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DCF Bear–Base–Bull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$2.62 / $4.25 / $6.29 (low confidence); residual income $6.81; TBV $7.50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MoS Gate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Compounder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TRADE ONLY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AI Impact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NEUTRAL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Horizon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Re-underwrite at Q3 results (2026-10-27); no long-term no-stop position at this price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Thesis Invalidation</w:t>
            </w:r>
          </w:p>
        </w:tc>
        <w:tc>
          <w:tcPr>
            <w:tcW w:type="dxa" w:w="7710"/>
          </w:tcPr>
          <w:p>
            <w:r>
              <w:rPr>
                <w:sz w:val="18"/>
              </w:rPr>
              <w:t>(1) personal-loan NCOs reversing up while NIM compresses under a hiking Fed and weaker labour market; (2) Technology Platform goodwill impairment or a second client loss; (3) ROE not closing toward the cost of equity even if the FY2026 adj.-NI guide is met; (4) another equity raise at depressed prices</w:t>
            </w:r>
          </w:p>
        </w:tc>
      </w:tr>
    </w:tbl>
    <w:p/>
    <w:p>
      <w:r>
        <w:rPr>
          <w:b w:val="0"/>
          <w:i w:val="0"/>
        </w:rPr>
        <w:t>What has to be true: the growth engine is real (members +35%, originations +69%, two GAAP-profitable years) and is why the F-Rating is FAIR rather than Overvalued. The $15.77 price additionally needs either a terminal ROE near 31% or a cost of equity near 9.7% — three independent methods (DCF $4.25, residual income $6.81, tangible book $7.50) all sit far below the price. Versus the prior report, rates moved against the thesis (cost of equity 14.91% → 15.21%) and the price fell 5.3%, so the gap is essentially unchanged. What would most change the verdict: a Q3 print with adjusted net income tracking the $825M guide and ROE stepping up, while credit holds through a softer labour market.</w:t>
      </w:r>
    </w:p>
    <w:p>
      <w:pPr>
        <w:pStyle w:val="Heading1"/>
      </w:pPr>
      <w:r>
        <w:t>13. Investment Checklist Scorecard (86 checks)</w:t>
      </w:r>
    </w:p>
    <w:p>
      <w:r>
        <w:rPr>
          <w:b w:val="0"/>
          <w:i w:val="0"/>
        </w:rPr>
        <w:t>Side scorecard from investment-checklist.md — a parallel read that does not change the Step 12 verdict. ✓ = passes / favourable for SoFi; ✗ = fails / red flag; ? = not verifiable from this report's sources; N/A = does not apply.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05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01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101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✗</w:t>
            </w:r>
          </w:p>
        </w:tc>
        <w:tc>
          <w:tcPr>
            <w:tcW w:type="dxa" w:w="101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?</w:t>
            </w:r>
          </w:p>
        </w:tc>
        <w:tc>
          <w:tcPr>
            <w:tcW w:type="dxa" w:w="101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152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4058"/>
          </w:tcPr>
          <w:p>
            <w:r>
              <w:rPr>
                <w:sz w:val="18"/>
              </w:rPr>
              <w:t>Pre-investimento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7/10</w:t>
            </w:r>
          </w:p>
        </w:tc>
      </w:tr>
      <w:tr>
        <w:tc>
          <w:tcPr>
            <w:tcW w:type="dxa" w:w="4058"/>
          </w:tcPr>
          <w:p>
            <w:r>
              <w:rPr>
                <w:sz w:val="18"/>
              </w:rPr>
              <w:t>Business Model ed Economics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5/7</w:t>
            </w:r>
          </w:p>
        </w:tc>
      </w:tr>
      <w:tr>
        <w:tc>
          <w:tcPr>
            <w:tcW w:type="dxa" w:w="4058"/>
          </w:tcPr>
          <w:p>
            <w:r>
              <w:rPr>
                <w:sz w:val="18"/>
              </w:rPr>
              <w:t>Unit Economics e KPI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5/7</w:t>
            </w:r>
          </w:p>
        </w:tc>
      </w:tr>
      <w:tr>
        <w:tc>
          <w:tcPr>
            <w:tcW w:type="dxa" w:w="4058"/>
          </w:tcPr>
          <w:p>
            <w:r>
              <w:rPr>
                <w:sz w:val="18"/>
              </w:rPr>
              <w:t>Strategia e Risorse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5/10</w:t>
            </w:r>
          </w:p>
        </w:tc>
      </w:tr>
      <w:tr>
        <w:tc>
          <w:tcPr>
            <w:tcW w:type="dxa" w:w="4058"/>
          </w:tcPr>
          <w:p>
            <w:r>
              <w:rPr>
                <w:sz w:val="18"/>
              </w:rPr>
              <w:t>Power Dynamics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5/9</w:t>
            </w:r>
          </w:p>
        </w:tc>
      </w:tr>
      <w:tr>
        <w:tc>
          <w:tcPr>
            <w:tcW w:type="dxa" w:w="4058"/>
          </w:tcPr>
          <w:p>
            <w:r>
              <w:rPr>
                <w:sz w:val="18"/>
              </w:rPr>
              <w:t>Check dei Poteri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1/7</w:t>
            </w:r>
          </w:p>
        </w:tc>
      </w:tr>
      <w:tr>
        <w:tc>
          <w:tcPr>
            <w:tcW w:type="dxa" w:w="4058"/>
          </w:tcPr>
          <w:p>
            <w:r>
              <w:rPr>
                <w:sz w:val="18"/>
              </w:rPr>
              <w:t>Valutazione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5/11</w:t>
            </w:r>
          </w:p>
        </w:tc>
      </w:tr>
      <w:tr>
        <w:tc>
          <w:tcPr>
            <w:tcW w:type="dxa" w:w="4058"/>
          </w:tcPr>
          <w:p>
            <w:r>
              <w:rPr>
                <w:sz w:val="18"/>
              </w:rPr>
              <w:t>Opzionalità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4/5</w:t>
            </w:r>
          </w:p>
        </w:tc>
      </w:tr>
      <w:tr>
        <w:tc>
          <w:tcPr>
            <w:tcW w:type="dxa" w:w="4058"/>
          </w:tcPr>
          <w:p>
            <w:r>
              <w:rPr>
                <w:sz w:val="18"/>
              </w:rPr>
              <w:t>Management e Governance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5/11</w:t>
            </w:r>
          </w:p>
        </w:tc>
      </w:tr>
      <w:tr>
        <w:tc>
          <w:tcPr>
            <w:tcW w:type="dxa" w:w="4058"/>
          </w:tcPr>
          <w:p>
            <w:r>
              <w:rPr>
                <w:sz w:val="18"/>
              </w:rPr>
              <w:t>Rischi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2/9</w:t>
            </w:r>
          </w:p>
        </w:tc>
      </w:tr>
      <w:tr>
        <w:tc>
          <w:tcPr>
            <w:tcW w:type="dxa" w:w="4058"/>
          </w:tcPr>
          <w:p>
            <w:r>
              <w:rPr>
                <w:sz w:val="18"/>
              </w:rPr>
              <w:t>Totale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1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44/86</w:t>
            </w:r>
          </w:p>
        </w:tc>
      </w:tr>
    </w:tbl>
    <w:p/>
    <w:p>
      <w:r>
        <w:rPr>
          <w:b w:val="0"/>
          <w:i w:val="0"/>
        </w:rPr>
        <w:t>Coverage = (✓ + ✗) / (86 − N/A) = 70/85 = 82.4% — most of the checklist could be answered from the evidence, so the score reflects the company rather than missing information.</w:t>
      </w:r>
    </w:p>
    <w:p>
      <w:pPr>
        <w:pStyle w:val="Heading2"/>
      </w:pPr>
      <w:r>
        <w:t>Pre-investimento (10)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7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Mark</w:t>
            </w:r>
          </w:p>
        </w:tc>
        <w:tc>
          <w:tcPr>
            <w:tcW w:type="dxa" w:w="530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PRE-1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Ricerca sufficiente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Q1/Q2 2026 8-K and 10-Q, 2026 DEF 14A, Form 4/144, IR capital-raise docs, analyst actions (Step 0). Earnings-call transcripts not read directly.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PRE-2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Bear case e pre-mortem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Four explicit invalidation paths: credit reversal under hikes, Tech Platform goodwill, ROE &lt; CoE, dilution (Step 12).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PRE-3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Key driver compresi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Originations (+69%), NIM (5.98%), deposits (+$5.3B QoQ), members (+35%); stock driven by rates and beta 2.21 (Steps 0, 5, 8).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PRE-4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Opinione differenziata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No view on where the market is wrong in our favour: consensus Hold, PT $20.34; our methods say price is already rich (Step 5).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PRE-5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Risk-reward favorevole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MoS Gate NONE; DCF $2.62–6.29, RI $6.81, TBV $7.50 vs $15.77 (Step 5).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PRE-6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Catalyst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Q3 results 2026-10-27; SoFiUSD on Mastercard (09-22); SoFi Plus target 1M members / $120M (Step 0).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PRE-7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Cosa smentirebbe la tesi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Defined in Step 12 (NCO reversal, impairment, ROE stall, raise at depressed price).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PRE-8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Perché questa vs incrementare posizioni esistenti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Depends on the holder's existing book; not assessable inside a single-name report.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PRE-9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Comprerei ancora se −50%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At ~$7.90 price ≈ TBV ($7.50) and RI value ($6.81) — a 50% fall would bring it into the valuation range, making it more attractive, not less.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PRE-10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Non value trap / no turnaround improbabile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Revenue +41% TTM, GAAP-profitable two years; multiples are not low (P/TBV 2.1x) — not a cheap-and-declining profile.</w:t>
            </w:r>
          </w:p>
        </w:tc>
      </w:tr>
    </w:tbl>
    <w:p/>
    <w:p>
      <w:pPr>
        <w:pStyle w:val="Heading2"/>
      </w:pPr>
      <w:r>
        <w:t>Business Model ed Economics (7)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7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Mark</w:t>
            </w:r>
          </w:p>
        </w:tc>
        <w:tc>
          <w:tcPr>
            <w:tcW w:type="dxa" w:w="530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BM-1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Target clientela e value proposition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High-income, high-credit digital borrowers/savers; 15.8M members, +35% YoY (Steps 0–1).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BM-2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Generazione ricavi e mix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Lending 56.8%, Financial Services 36.6%, Tech Platform 6.6% of Q2 2026 segment revenue (Step 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BM-3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Struttura dei costi granulare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Fixed/variable cost split and MD&amp;A cost detail not pulled this session.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BM-4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Leva operativa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Adj. EBITDA margin ~3% → ~31% in 5 years; FY2026 guide +81% adj. NI on +32–35% revenue (Steps 3, 11).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BM-5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Go-to-market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Branchless direct digital; 51% of new products from existing members; Loan Platform Business sells origination capacity (Steps 0–1).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BM-6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Pricing power inespresso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Loans priced to credit and rates; deposits compete on APY — no evidence of untapped pricing power.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BM-7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Partner strategici e risorse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Mastercard (SoFiUSD), third-party loan buyers (LPB), national bank charter (Steps 0–1).</w:t>
            </w:r>
          </w:p>
        </w:tc>
      </w:tr>
    </w:tbl>
    <w:p/>
    <w:p>
      <w:pPr>
        <w:pStyle w:val="Heading2"/>
      </w:pPr>
      <w:r>
        <w:t>Unit Economics e KPI (7)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7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Mark</w:t>
            </w:r>
          </w:p>
        </w:tc>
        <w:tc>
          <w:tcPr>
            <w:tcW w:type="dxa" w:w="530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UE-1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Unit economics buone e in miglioramento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Personal-loan NCO 2.62% (−21bp YoY), 90-day DQ 40bp (−7bp QoQ), 1.54 products/member; CAC/LTV not disclosed (Step 10).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UE-2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3-4 KPI chiave e trend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Members +35%, products +42%, originations +69%, deposits +13.2% QoQ (Step 0).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UE-3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Ciclo del cash flow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Originations funded by deposits through operating cash flow; OCF structurally negative (TTM −$8.5B) by lender accounting (Step 4).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UE-4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ROIC/ROIIC elevato e crescente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ROE 7.09% and ROTE 6.56% vs cost of equity 15.21% (Step 5).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UE-5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Capital intensity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CapEx/revenue 6.8% TTM; bank capital needs met by 2025 raises (Steps 4, 9).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UE-6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Margini incrementali e trend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FY2024 → FY2025 incremental adj. EBITDA margin ≈46% ($666M → $1.1B on +$940M revenue) (Step 11).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UE-7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Gross profit vs crescita marketing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Marketing spend series not pulled; no clean gross-profit line for a lender.</w:t>
            </w:r>
          </w:p>
        </w:tc>
      </w:tr>
    </w:tbl>
    <w:p/>
    <w:p>
      <w:pPr>
        <w:pStyle w:val="Heading2"/>
      </w:pPr>
      <w:r>
        <w:t>Strategia e Risorse (10)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7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Mark</w:t>
            </w:r>
          </w:p>
        </w:tc>
        <w:tc>
          <w:tcPr>
            <w:tcW w:type="dxa" w:w="530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STR-1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Strategia perseguita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Volume and cross-sell 'one-stop shop' (Financial Services Productivity Loop) over per-product margin (Step 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STR-2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Value chain e player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Origination → balance sheet or third-party buyers (LPB) → deposit funding → card/processing via Galileo (Step 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STR-3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Evoluzione della value chain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Modularization/disintegration of the chain not analyzed this session.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STR-4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Integrazione verticale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Vertically integrated: charter, own core and issuing stack (Technisys/Galileo), in-house origination (Step 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STR-5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Fattori chiave di successo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Cost of funds, underwriting, acquisition cost; SoFi strong on deposits (+$5.3B QoQ) and credit (NCO falling) (Steps 0, 10).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STR-6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Monopolio/duopolio/struttura favorevole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Fragmented and contested: JPMorgan, BofA, Chime, Upstart, Affirm, LendingClub (Step 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STR-7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Condotta razionale dei player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Pricing discipline history in personal lending/deposits not researched.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STR-8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Barriere all'entrata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Narrow only: charter is costly but obtainable, and incumbents have larger scale (Step 6).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STR-9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5 forze competitive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High rivalry, many substitutes, rate-shopping customers with low switching costs (Steps 1, 6).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STR-10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Risorse di maggior valore e sinergie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Charter + deposit base fund Lending; one member base cross-sold across products (Step 1).</w:t>
            </w:r>
          </w:p>
        </w:tc>
      </w:tr>
    </w:tbl>
    <w:p/>
    <w:p>
      <w:pPr>
        <w:pStyle w:val="Heading2"/>
      </w:pPr>
      <w:r>
        <w:t>Power Dynamics (9)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7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Mark</w:t>
            </w:r>
          </w:p>
        </w:tc>
        <w:tc>
          <w:tcPr>
            <w:tcW w:type="dxa" w:w="530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PD-1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Punto di flesso strategico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GAAP-profitability transition, SMB banking ('doubles TAM'), stablecoin settlement live (Steps 0–1).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PD-2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Fase (origine/takeoff/stabilità)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Takeoff: revenue +41%, members +35% (Step 11).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PD-3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Competitor diretti/indiretti/potenziali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Direct: neobanks/fintech lenders; indirect: incumbent digital banks; potential: chartering fintechs (Step 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PD-4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Perché non è una commodity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Core products (personal loans, savings) are largely commodity; differentiation is the bundle, not the product.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PD-5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Poteri: beneficio e barriera (P − C &gt; 0)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Returns below cost of capital (ROE 7.1% vs 15.2%) — no excess return yet (Step 5).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PD-6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Potere principale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Counter-positioning vs branch-based banks (branchless cost base) — partial; erodes as incumbents digitize (Step 6).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PD-7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Costi e pricing vs competitor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NIM 5.98% vs 2.5–3.5% known; efficiency ratio vs peers not pulled.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PD-8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Fossato e sua intensità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Narrow moat, CAP 3–7 years; Tech Platform client loss is contrary evidence (Step 6).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PD-9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Poteri sfruttati tra business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51% of new products from existing members; 1.54 products/member (Step 10).</w:t>
            </w:r>
          </w:p>
        </w:tc>
      </w:tr>
    </w:tbl>
    <w:p/>
    <w:p>
      <w:pPr>
        <w:pStyle w:val="Heading2"/>
      </w:pPr>
      <w:r>
        <w:t>Check dei Poteri (7)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7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Mark</w:t>
            </w:r>
          </w:p>
        </w:tc>
        <w:tc>
          <w:tcPr>
            <w:tcW w:type="dxa" w:w="530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POW-1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Risorse Uniche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Bank charter is not exclusive.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POW-2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Counter-Positioning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Partial: branchless model incumbents cannot copy without stranding branch networks.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POW-3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Switching Cost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Weak: direct deposit adds some stickiness, but customers rate-shop loans and savings.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POW-4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Economie di Network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None identified.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POW-5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Economie di Scala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Not yet: subscale vs incumbents; ROE below cost of equity.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POW-6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Branding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High awareness, but no price premium on identical products.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POW-7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Potere di Processi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No evidence of hard-to-replicate processes.</w:t>
            </w:r>
          </w:p>
        </w:tc>
      </w:tr>
    </w:tbl>
    <w:p/>
    <w:p>
      <w:pPr>
        <w:pStyle w:val="Heading2"/>
      </w:pPr>
      <w:r>
        <w:t>Valutazione (11)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7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Mark</w:t>
            </w:r>
          </w:p>
        </w:tc>
        <w:tc>
          <w:tcPr>
            <w:tcW w:type="dxa" w:w="530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VAL-1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TAM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$1–2T company framing; ~0.2–0.4% penetration; SMB expansion doubles it (Step 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VAL-2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Market share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No clean share calculation by product.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VAL-3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Implicazioni delle ipotesi (inverti)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The price implies a terminal ROE of ≈31% or a cost of equity of ≈9.7% (Step 6).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VAL-4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Base rate vs ipotesi di crescita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Guide implies +81% adj. NI on +32–35% revenue; base rate ≈ half of guided margin expansion (Step 6).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VAL-5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Crescita organica vs acquisizioni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Organic: members and originations; acquisitions (Golden Pacific, Technisys) are not the growth driver (Steps 0–1).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VAL-6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Perché i ricavi cresceranno / cosa li farebbe scendere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Up: members, deposits, cross-sell; down: credit cycle, rate marks on fair-value loans (Steps 0, 10).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VAL-7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Evoluzione dettagliata dei costi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Cost-line projections not built.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VAL-8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Efficienza capitale circolante e capex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Not meaningful/analyzed for a deposit-funded lender.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VAL-9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Stima del valore intrinseco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Triangulated: DCF $2.62 / $4.25 / $6.29, residual income $6.81, TBV $7.50 (Step 5).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VAL-10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Errori comuni evitati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Terminal value is 111–121% of EV in all scenarios — model-fit red flag (Step 5).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VAL-11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Stima possibile, plausibile, probabile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Three independent methods converge on $4–7.50 (Step 5).</w:t>
            </w:r>
          </w:p>
        </w:tc>
      </w:tr>
    </w:tbl>
    <w:p/>
    <w:p>
      <w:pPr>
        <w:pStyle w:val="Heading2"/>
      </w:pPr>
      <w:r>
        <w:t>Opzionalità (5)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7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Mark</w:t>
            </w:r>
          </w:p>
        </w:tc>
        <w:tc>
          <w:tcPr>
            <w:tcW w:type="dxa" w:w="530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OPT-1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Risorse per espandersi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SMB banking, crypto/stablecoin (SoFiUSD), SoFi Plus subscription (Step 0).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OPT-2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Economics di prodotti simili altrove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Comparable-product economics (e.g. other stablecoin or subscription banks) not researched.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OPT-3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Competenze differenziate per nuovi prodotti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Charter + own issuing stack enabled SoFiUSD settlement on Mastercard (Step 0).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OPT-4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Driver poco riportati che il mercato ignora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Loan Platform Business (capital-light fee volume, $3.0B in Q1) and SoFi Plus ($120M revenue target) (Step 0).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OPT-5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Traction delle opzionalità lanciate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SoFi Plus &gt;200k paid subscribers; SoFiUSD live 2026-09-22 (Step 0).</w:t>
            </w:r>
          </w:p>
        </w:tc>
      </w:tr>
    </w:tbl>
    <w:p/>
    <w:p>
      <w:pPr>
        <w:pStyle w:val="Heading2"/>
      </w:pPr>
      <w:r>
        <w:t>Management e Governance (11)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7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Mark</w:t>
            </w:r>
          </w:p>
        </w:tc>
        <w:tc>
          <w:tcPr>
            <w:tcW w:type="dxa" w:w="530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MGT-1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Struttura organizzativa e ruoli chiave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CEO Anthony Noto (since 2018), CFO Chris Lapointe; segment-based reporting.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MGT-2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Incentivi DEF-14A / red flag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CEO PSUs vest on absolute tangible-book growth ($1.2B target, 2024–26), which equity issuance inflates — the 2025 raises added ~$3.3B. Say-on-pay support fell to 76.2%.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MGT-3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Governance passata / turnover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2017: founder-CEO Mike Cagney resigned amid harassment allegations; CEO role stable since 2018.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MGT-4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Fondatore / skin in the game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Not founder-led, but CEO holds ~0.93% via 36 open-market buys, 0 sales (Steps 0, 9).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MGT-5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Interviste e integrità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Interviews/podcasts not reviewed.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MGT-6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Cultura (Glassdoor/Reddit)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Glassdoor 4.2/5, 80% recommend, 82% positive outlook; some 2026 layoff-handling complaints.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MGT-7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Sindacalizzazione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No source found either way.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MGT-8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Focus sul breve termine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No evidence of short-termism: guidance raised twice, equity raised opportunistically at high prices rather than defending EPS.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MGT-9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Operational excellence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Record originations, two guidance raises in 2026, improving credit, two GAAP-profitable years (Step 0).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MGT-10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Commenti arroganti sui competitor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Management commentary not reviewed for this.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MGT-11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Capital allocation / M&amp;A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Technisys underpins $1.3B goodwill in a segment at −23% YoY revenue and 14% contribution margin; the 2025 raises were well-timed ($20.85, $27.50) (Steps 4, 9).</w:t>
            </w:r>
          </w:p>
        </w:tc>
      </w:tr>
    </w:tbl>
    <w:p/>
    <w:p>
      <w:pPr>
        <w:pStyle w:val="Heading2"/>
      </w:pPr>
      <w:r>
        <w:t>Rischi (9)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7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Mark</w:t>
            </w:r>
          </w:p>
        </w:tc>
        <w:tc>
          <w:tcPr>
            <w:tcW w:type="dxa" w:w="530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RSK-1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Fattori di rischio del bilancio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10-K risk-factor section not read directly this session.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RSK-2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Concentrazione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100% US; personal loans $10.7B of $14.8B originations; Tech Platform client concentration (Steps 0–1).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RSK-3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Ciclicità e stagionalità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Cyclical: consumer credit and rate-sensitive, beta 2.21; September payrolls +29k (Step 0).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RSK-4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Red flag contabili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$1.3B Tech Platform goodwill unimpaired despite segment deterioration; fair-value loan marks rely on management assumptions (Step 4).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RSK-5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Indebitamento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D/E 0.31, net debt ≈ $49M; deposit-funded (Step 4).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RSK-6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Troppe acquisizioni / goodwill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Goodwill ~3% of assets is moderate, but the largest deal (Technisys) has underperformed (Step 9).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RSK-7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Moda passeggera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Banking and lending demand is durable.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RSK-8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Debito tecnico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No data found on tech-debt complaints vs more modern competitors.</w:t>
            </w:r>
          </w:p>
        </w:tc>
      </w:tr>
      <w:tr>
        <w:tc>
          <w:tcPr>
            <w:tcW w:type="dxa" w:w="973"/>
          </w:tcPr>
          <w:p>
            <w:r>
              <w:rPr>
                <w:sz w:val="18"/>
              </w:rPr>
              <w:t>RSK-9</w:t>
            </w:r>
          </w:p>
        </w:tc>
        <w:tc>
          <w:tcPr>
            <w:tcW w:type="dxa" w:w="2653"/>
          </w:tcPr>
          <w:p>
            <w:r>
              <w:rPr>
                <w:sz w:val="18"/>
              </w:rPr>
              <w:t>Entropia burocratica (aziende mature)</w:t>
            </w:r>
          </w:p>
        </w:tc>
        <w:tc>
          <w:tcPr>
            <w:tcW w:type="dxa" w:w="70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305"/>
          </w:tcPr>
          <w:p>
            <w:r>
              <w:rPr>
                <w:sz w:val="18"/>
              </w:rPr>
              <w:t>Not a mature company.</w:t>
            </w:r>
          </w:p>
        </w:tc>
      </w:tr>
    </w:tbl>
    <w:p/>
    <w:p>
      <w:r>
        <w:rPr>
          <w:b/>
        </w:rPr>
        <w:t xml:space="preserve">Weakest category: </w:t>
      </w:r>
      <w:r>
        <w:rPr>
          <w:b w:val="0"/>
        </w:rPr>
        <w:t>Rischi (4 ✗, 2/9). Check dei Poteri has more ✗ (6) but that is normal — most companies have 0–2 Powers.</w:t>
      </w:r>
    </w:p>
    <w:p>
      <w:r>
        <w:rPr>
          <w:b/>
        </w:rPr>
        <w:t xml:space="preserve">✗ in Pre-investimento and Rischi: </w:t>
      </w:r>
      <w:r>
        <w:rPr>
          <w:b w:val="0"/>
        </w:rPr>
        <w:t>PRE-4 (no differentiated view), PRE-5 (risk-reward unfavourable at $15.77), RSK-2 (concentration), RSK-3 (cyclicality), RSK-4 (goodwill / fair-value accounting), RSK-6 (Technisys).</w:t>
      </w:r>
    </w:p>
    <w:p>
      <w:r>
        <w:rPr>
          <w:b/>
        </w:rPr>
        <w:t xml:space="preserve">Powers present: </w:t>
      </w:r>
      <w:r>
        <w:rPr>
          <w:b w:val="0"/>
        </w:rPr>
        <w:t>POW-2 Counter-Positioning (partial) — no others identified.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