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ADBE — Adobe Inc. — Long-Term Deep-Dive</w:t>
      </w:r>
    </w:p>
    <w:p>
      <w:pPr>
        <w:spacing w:after="100"/>
      </w:pPr>
      <w:r>
        <w:t xml:space="preserve">Date: 2026-09-30 | Price: $233.17 / €205.54 (close Sept 29, 2026, yfinance; EUR/USD 1.134, GBP/USD 1.323) | Shares ~397M | Market cap ~$92.69B | Cash + ST inv. $6.59B / total debt $6.65B (FY2025 (11/25)) → net debt ~$53M | Next earnings: Q4 FY26 in mid-Dec 2026 (date not confirmed)</w:t>
      </w:r>
    </w:p>
    <w:p>
      <w:pPr>
        <w:spacing w:after="100"/>
      </w:pPr>
      <w:r>
        <w:t xml:space="preserve">[FUNDAMENTAL DATA MISSING — ADBE is not in ./data/fundamental_data.json. Figures come from yfinance statements (FY2022 (11/22)–FY2025 (11/25)),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COMPOUNDER (7/9 on the Compounder screen); MoS Gate BASE (price $233.17 / €205.54 vs Bear $196.60 / €173.30 / Base $261.59 / €230.60 / Bull $328.94 / €289.96 at a 11.2% WACC).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Q3 FY26 (Aug 2026): revenue $6.76B (+13%), non-GAAP EPS $6.13; total ARR $27.50B (+11.2%); AI-first ARR &gt; $650M (&gt; +150%). FY26 revenue guide raised to $26.58–26.63B and EPS to $24.45–24.50, but the Q4 guide was below consensus. A CEO transition was announced with the results.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Shares fell after the print (~$243 after hours; $233.17 now; −35% over 12 months). Forward P/E 8.4×: the market is pricing generative-AI commoditisation of creative software.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below Base $261.59 (€230.60), above Bear $196.60 → QUALITY. Business 7/9 (fails insider ownership and goodwill &gt; 40% of assets).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price needs only ~6% 5-yr revenue growth vs a ~9% consensus-led path: modest positive asymmetry, provided ARR growth holds above ~8%.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Q3 FY26 (quarter ended ~Aug 28, 2026), reported mid-Sept 2026 (source: Investing.com slides; Yahoo Finance; InvestorsHub; StockTitan 8-K summary).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$6.76B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$5.99B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+13% (+12% cc)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Non-GAAP EPS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$6.13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Total ending ARR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$27.50B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$24.7B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+11.2%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AI-first ending ARR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&gt; $650M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&gt; +150%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Adobe reported ~1 billion monthly users across its products (freemium Express/Firefly funnel); monetisation timing of that funnel was the market's concern.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FY26 revenue raised to $26.576–26.626B; non-GAAP EPS $24.45–24.50.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Q4 revenue guide came in below consensus (InvestorsHub).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CEO transition was announced alongside Q3 results (Investing.com); successor details not retrieved this pass.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the print: Morgan Stanley Sell, Citi cut its target, Oppenheimer Hold (Yahoo / ad-hoc-news).</w:t>
      </w:r>
    </w:p>
    <w:p>
      <w:pPr>
        <w:spacing w:after="100"/>
      </w:pPr>
      <w:r>
        <w:t xml:space="preserve">Price: 52-week closing range $193.41–$360.37 (low 2026-06-25, high 2025-09-26). Returns: 1 month -20.0%, 3 months 13.7%, 12 months -35.3%, 12−1 months -19.1%. Below the 200-day average ($261.57). Consensus: 32 analysts, mean target $275.06 (18.0%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 (FY25 basis, indicative):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Digital Media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Creative Cloud, Document Cloud (Acrobat), Express, Firefly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~$17.6B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~74%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Digital Experience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Experience Cloud (analytics, marketing, commerce, GenStudio)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~$5.9B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Publishing &amp; Advertising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Legacy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~$0.3B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FY26 segment split not retrieved; indicative only.</w:t>
      </w: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(~55% Americas).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Customers: creative professionals, enterprises, knowledge workers (Acrobat), marketers.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Canva, Figma, generative-AI image/video tools (OpenAI, Google, Midjourney), Salesforce (marketing).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Adobe cites a TAM of ~$200B+ in investor materials (date and figure not re-verified this pass); not used.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B-TK.</w:t>
      </w:r>
      <w:r>
        <w:t xml:space="preserve"> Subscription software with 89% gross margin: Track B-TK.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(11/22) $17.61B → FY2025 (11/25) $23.77B (CAGR 10.5%); diluted EPS FY2022 (11/22) 10.1 → FY2025 (11/25) 16.7 (CAGR 18.2%; reported currency). Consensus next-year revenue growth 9.2%.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13.0× trailing on reported (GAAP) profit, 8.4× forward on consensus estimates (yfinance); </w:t>
      </w:r>
      <w:r>
        <w:rPr>
          <w:b/>
          <w:bCs/>
        </w:rPr>
        <w:t xml:space="preserve">12.2×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0.56: forward P/E ÷ consensus EPS growth for the current and next fiscal year (15.0%/yr).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CAGR 10.5% (FY22–25); forward P/E 8.4× → PEG &lt; 1 on EPS growth; the market is treating it as a SlowGrower/decliner.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 (11/23)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-6.6%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$5.43B, OCF $7.30B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 (11/24)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-8.3%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$5.56B, OCF $8.06B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 (11/25)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-9.7%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$7.13B, OCF $10.03B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−9.7%.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FY25 net income ($7.13B) vs operating income: no material transitory items identified.</w:t>
      </w:r>
    </w:p>
    <w:p>
      <w:pPr>
        <w:spacing w:after="100"/>
      </w:pPr>
      <w:r>
        <w:t xml:space="preserve">ROIC (NOPLAT ÷ avg invested capital, equity + debt − cash): 42.0% (FY2023 (11/23)) → 49.5% (FY2024 (11/24)) → 59.6% (FY2025 (11/25)). ROIC ex-goodwill (latest): &gt; 40%. WACC 11.2%.</w:t>
      </w:r>
    </w:p>
    <w:p>
      <w:pPr>
        <w:spacing w:after="100"/>
      </w:pPr>
      <w:r>
        <w:t xml:space="preserve">Margin trend (FY2022 (11/22)–FY2025 (11/25)): gross 87.7% → 87.9% → 89.0% → 89.3%; operating 34.6% → 34.3% → 36.0% → 36.6%; TTM operating 35.7%.</w:t>
      </w:r>
    </w:p>
    <w:p>
      <w:pPr>
        <w:spacing w:after="100"/>
      </w:pPr>
      <w:r>
        <w:t xml:space="preserve">Dilution: share count 462M → 413M (-3.7%/yr). Last-FY buybacks $11.28B.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1.42,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11.57%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11.17%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$25.97B; year-1 growth 9.2% (consensus next-year revenue growth), fading linearly to terminal g + 1pp; operating margin 35.7% (TTM op. margin); tax 18.0%; reinvestment = growth ÷ RONIC (Base RONIC 40.0%); Key-Value-Driver terminal value, g 3.0%. Net debt $53M.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@11.2%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@12.7%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6.4%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32.7% (26.8%)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30.0% / 10.2%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$40.74B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$10.92B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$196.60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€173.30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$167.13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9.2%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35.7% (29.3%)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40.0%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$49.10B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$14.37B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$261.59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€230.60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$219.40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11.9%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37.7% (30.9%)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50.0%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$58.97B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$18.23B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$328.94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€289.96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$273.37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43% / 48% / 52% of EV (Bear / Base / Bull), below 60%: most value is in the explicit period.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~7.5×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(9.7×) persisted to year 10, Base would be $298.36 / €263.00 (+14% vs Method 1); the two methods agree within 30%.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9.2%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$325.75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$337.03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$349.80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$381.51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10.2%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$283.44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$291.09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$299.54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$319.61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11.2%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$250.44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$255.79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$261.59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$274.87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12.2%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$224.00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$227.84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$231.93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$241.00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11.2%,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$212.92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$222.69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$232.46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$245.50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$239.60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$250.60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$261.59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$276.26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$270.18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$282.58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$294.98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$311.52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$305.22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$319.23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$333.24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$351.91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WACC 11.2% (beta at the 1.4 clip). At a 9–10% WACC, Base rises well above the price (see the grid).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(35.7%), RONIC and terminal assumptions, and solve for the growth path that makes value = $233.17.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0.23×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$28.43B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10.2%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0.39×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3.1%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$30.31B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11.2%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0.71×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$34.23B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12.2%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1.01×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8.1%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$38.41B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8.0%.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5.7% vs 8.0%: below the base path → the price assumes less than consensus: positive asymmetry if the business holds.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ARR keeps growing ~6–8%: the price needs ~6% revenue growth for five years.</w:t>
      </w:r>
    </w:p>
    <w:p>
      <w:pPr>
        <w:spacing w:after="100"/>
      </w:pPr>
      <w:r>
        <w:t xml:space="preserve">2. Firefly / AI features monetise enough to offset seat pressure from AI-native tools.</w:t>
      </w:r>
    </w:p>
    <w:p>
      <w:pPr>
        <w:spacing w:after="100"/>
      </w:pPr>
      <w:r>
        <w:t xml:space="preserve">3. Operating margin holds around 35–37%.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Intangibles/brand + creative-workflow switching costs; wide but eroding; </w:t>
      </w:r>
      <w:r>
        <w:rPr>
          <w:b/>
          <w:bCs/>
        </w:rPr>
        <w:t xml:space="preserve">CAP 7–10y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Intangibles and workflow switching costs (PSD/PDF standards, Creative Cloud workflows): wide, but eroding as generative AI lowers the skill barrier.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stable (operating 34.6% → 36.6%; gross 87.7% → 89.3%).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#11 Competitive edge: under pressure from Canva/Figma and generative 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−3.7%/yr (heavy buybacks).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Management: CEO transition announced; insiders hold 0.2%.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0.2%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0.89, forward P/E 8.4×.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97/100 (ROIC ex-GW –, op. margin 35.7%, FCF/NI 136.1%).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Negative: 12−1 month -19.1%; 3 months 13.7%.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1.42.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a single-factor (quality) name.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42% / 49% / 60%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35.7%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136%; last FY 138%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-3.7%/yr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$11.28B; share count -3.7%/yr; price/Base 0.89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43.6%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7/9 scorable → COMPOUNDER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Reinvestment: capex 0.8% of revenue; ROIC 60%.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aggressive, now below Base value (passes).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the Figma deal was abandoned in 2023 (with a $1B break fee); goodwill 43.6% of assets from older acquisitions (fails).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Debt: net cash ≈ 0.</w:t>
      </w:r>
    </w:p>
    <w:p>
      <w:pPr>
        <w:pStyle w:val="Heading2"/>
        <w:spacing w:after="120" w:before="240"/>
      </w:pPr>
      <w:r>
        <w:t xml:space="preserve">10. Sector Appendix — Software &amp; SaaS (B-TK)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ARR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+11.2% (Q3 FY26)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Acceptable (below 15%)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89.3%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~11 + ~40 FCF margin ≈ 51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Healthy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 ARR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&gt; $650M (&gt; +150%)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Early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NRR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disclosed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 (11/22)–FY2025 (11/25))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 (11/22)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 (11/23)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 (11/24)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 (11/25)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$17.61B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$19.41B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$21.50B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$23.77B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$23.77B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87.7%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87.9%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89.0%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89.3%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89.3%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39.5%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55.4%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55.4%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51.2×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13.0×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51.0×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13.0×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3.9×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8.0×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3.9×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$1.46B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$3.76B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$1.83B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−$53M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−$53M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41.4%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 (11/22)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 (11/23)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 (11/24)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 (11/25)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$442M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$179M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49.5%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59.6%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59.6%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462M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455M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441M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413M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43.0%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43.6%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43.6%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Margins and ROIC improved every year (ROIC 42% → 60%), yet P/E fell to ~13×: a textbook Mauboussin expectations gap. The market is discounting AI disruption, not current returns.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 count −3.7%/yr at falling prices is value-accretive if the franchise holds.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ADBE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B-TK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77 (V 83 / Q 97 / G 53)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$196.60 / $261.59 / $328.94 (€173.30 / €230.60 / €289.96), WACC 11.2%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(7/9)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HEADWIND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Digital Media ARR growth &lt; 8% for 2 quarters, OR operating margin &lt; 40% (non-GAAP)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B: Value 20% / Quality 40% / Growth 40%): Value 83, Quality 97, Growth 53 → 77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 keeps growing ~6–8%: the price needs ~6% revenue growth for five years.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Firefly / AI features monetise enough to offset seat pressure from AI-native tools.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margin holds around 35–37%.</w:t>
      </w:r>
    </w:p>
    <w:p>
      <w:pPr>
        <w:spacing w:after="100"/>
      </w:pPr>
      <w:r>
        <w:t xml:space="preserve">Single biggest risk: Generative AI tools (Canva, Figma, model-native image/video) commoditise creative production.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quarters of ARR growth below 8% would confirm erosion and move value toward Bear ($196.60 / €173).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ARR scaling past ~$2B with stable seat counts would re-rate toward Bull ($328.94).</w:t>
      </w:r>
    </w:p>
    <w:p>
      <w:pPr>
        <w:spacing w:after="100"/>
      </w:pPr>
      <w:r>
        <w:t xml:space="preserve">Sources (Recent Context): Investing.com, Adobe Q3 FY2026 slides; Yahoo Finance, Adobe Q3 2026 earnings; InvestorsHub, Q4 guidance below consensus; StockTitan 8-K summary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2026-10-03T12:02:53.734Z</dcterms:created>
  <dcterms:modified xsi:type="dcterms:W3CDTF">2026-10-03T12:02:53.735Z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