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ALNY — Alnylam Pharmaceuticals, Inc. — Long-Term Deep-Dive</w:t>
      </w:r>
    </w:p>
    <w:p>
      <w:pPr>
        <w:spacing w:after="100"/>
      </w:pPr>
      <w:r>
        <w:t xml:space="preserve">Date: 2026-09-30 | Price: $254.07 / €223.96 (close Sept 29, 2026, yfinance; EUR/USD 1.134, GBP/USD 1.323) | Shares ~134M | Market cap ~$34.00B | Cash + ST inv. $2.91B / total debt $1.28B (FY2025) → net cash ~$1.63B | Next earnings: Q3 2026 in late Oct / early Nov 2026 (date not confirmed)</w:t>
      </w:r>
    </w:p>
    <w:p>
      <w:pPr>
        <w:spacing w:after="100"/>
      </w:pPr>
      <w:r>
        <w:t xml:space="preserve">[FUNDAMENTAL DATA MISSING — ALNY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TRADE ONLY. Business TRADE ONLY (3/7 on the Compounder screen); MoS Gate BASE (price $254.07 / €223.96 vs Bear $152.15 / €134.12 / Base $297.29 / €262.06 / Bull $477.18 / €420.64 at a 8.3%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Verdict change vs the screen: </w:t>
      </w:r>
      <w:r>
        <w:rPr>
          <w:b/>
          <w:bCs/>
        </w:rPr>
        <w:t xml:space="preserve">TRADE ONLY on the Compounder screen (3/7)</w:t>
      </w:r>
      <w:r>
        <w:t xml:space="preserve">. Alnylam only turned an operating profit in FY25 (op. margin 13.5%, vs −75.7% in FY22), so sustained ROIC cannot pass yet; it also dilutes ~2.2%/yr and insiders hold under 0.5%.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net product revenue $1.17B (+74%); AMVUTTRA became the first product above $1B in a quarter. But total revenue missed ($1.29B vs $1.32B) and 2026 product-revenue guidance was cut to $4.7–5.1B (from $4.9–5.3B) as second-line demand normalised. Shares fell ~26% to ~$211 on Jul 30; now $254.07.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Valuation: price below Base ($297.29 / €262.06) at an 8.3% WACC (0.7 beta floor), so the MoS Gate is BASE. The Compounder rule overrides: no structural floor is proven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name for a 'watch the ROIC build' list, not a no-stop long-term holding today.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30, 2026 (source: Alnylam press release; Endpoints News; Yahoo Finance; Investing.com).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product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$1.17B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$0.67B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TTR franchise (Amvuttra + Onpattro)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$1.03B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$0.54B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+89%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revenue vs consensus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$1.29B vs $1.32B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−2% miss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EPS vs consensus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$1.84 vs $1.60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AMVUTTRA passed $1B in a single quarter ~15 months after its ATTR-cardiomyopathy launch.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net product revenue cut to $4.7–5.1B (from $4.9–5.3B).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TTR franchise cut to $4.2–4.5B (from $4.4–4.7B), attributed to normalising second-line patient demand after an unusually strong launch.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Jul 30, 2026: shares −26% to ~$211, near the 52-week low of $206.89 (Yahoo 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ATTR-CM competition: tafamidis (Pfizer) and acoramidis (BridgeBio); first-line share is the battleground.</w:t>
      </w:r>
    </w:p>
    <w:p>
      <w:pPr>
        <w:spacing w:after="100"/>
      </w:pPr>
      <w:r>
        <w:t xml:space="preserve">Price: 52-week closing range $205.48–$491.22 (low 2026-07-30, high 2025-10-20). Returns: 1 month 7.2%, 3 months -15.6%, 12 months -43.1%, 12−1 months -46.9%. Below the 200-day average ($305.40). Consensus: 26 analysts, mean target $371.35 (46.2%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Revenue lines (Q2 2026):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TTR franchise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AMVUTTRA (vutrisiran) and ONPATTRO for ATTR amyloidosis (polyneuropathy, cardiomyopathy)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$1.03B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Other rare disease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GIVLAARI, OXLUMO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~$0.14B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Collaborations &amp; royalties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Novartis (Leqvio) royalties, other partners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~$0.12B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Single reporting segment; the non-TTR lines are residual estimates.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US-weighted, with EU and Japan launches; specialty cardiology and neurology.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ATTR-CM competitors: Pfizer (tafamidis), BridgeBio (acoramidis), Intellia (gene editing, clinical stage).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ATTR-CM market-size figure retrieved; none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B-BT.</w:t>
      </w:r>
      <w:r>
        <w:t xml:space="preserve"> Biotech with a commercial RNAi platform (B-BT). Now profitable, so a Koller DCF is computable; Track C would apply if it were still pre-profit.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FastGrower.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FY2022 $1.04B → FY2025 $3.71B (CAGR 53.0%); diluted EPS FY2022 -9.3 → FY2025 2.33 (CAGR –; reported currency). Consensus next-year revenue growth 26.7%.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44.2× trailing on reported (GAAP) profit, 20.4× forward on consensus estimates (yfinance); </w:t>
      </w:r>
      <w:r>
        <w:rPr>
          <w:b/>
          <w:bCs/>
        </w:rPr>
        <w:t xml:space="preserve">35.8×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0.68: forward P/E ÷ consensus EPS growth for the current and next fiscal year (57.6%/yr, capped at 30% because higher growth is rarely sustained).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53% FY22–25; consensus next-year +27%.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-14.8%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−$440M, OCF $104M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−$278M, OCF −$8M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$314M, OCF $524M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−4.6%.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FY25 is the first year of positive operating income (13.5%; TTM 20.8%). The earnings history is too short for a persistence read.</w:t>
      </w:r>
    </w:p>
    <w:p>
      <w:pPr>
        <w:spacing w:after="100"/>
      </w:pPr>
      <w:r>
        <w:t xml:space="preserve">ROIC (NOPLAT ÷ avg invested capital, equity + debt − cash): n/m. ROIC ex-goodwill (latest): &gt; 40%. WACC 8.3%.</w:t>
      </w:r>
    </w:p>
    <w:p>
      <w:pPr>
        <w:spacing w:after="100"/>
      </w:pPr>
      <w:r>
        <w:t xml:space="preserve">Margin trend (FY2022–FY2025): gross 83.7% → 83.0% → 85.6% → 81.6%; operating -75.7% → -15.4% → -7.9% → 13.5%; TTM operating 20.8%.</w:t>
      </w:r>
    </w:p>
    <w:p>
      <w:pPr>
        <w:spacing w:after="100"/>
      </w:pPr>
      <w:r>
        <w:t xml:space="preserve">Dilution: share count 124M → 132M (2.2%/yr). Last-FY buybacks $0M.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0.30,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$4.80B; year-1 growth 26.7% (consensus next-year revenue growth), fading linearly to terminal g + 1pp; operating margin 20.8% (TTM op. margin); tax 5.0%; reinvestment = growth ÷ RONIC (Base RONIC 40.0%); Key-Value-Driver terminal value, g 3.0%. Net cash $1.63B.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@8.3%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@9.8%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17.8% (16.9%)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7.3%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$13.21B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$2.23B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$152.15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€134.12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$120.44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20.8% (19.8%)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$19.68B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$3.89B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$297.29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€262.06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$225.93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22.8% (21.7%)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$28.79B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$6.24B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$477.18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€420.64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$356.95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61% / 70% / 74%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~13.7×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(58.1×) persisted to year 10, Base would be $951.02 / €838.32 (+220%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$412.74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$448.38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$494.07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$641.09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$327.77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$348.16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$372.80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$442.44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$270.03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$282.64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$297.29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$335.48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$228.38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$236.61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$245.89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$268.76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8.3%,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$188.04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$202.85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$217.66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$237.41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$256.19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$276.74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$297.29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$324.69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$349.55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$377.96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$406.38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$444.26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$476.24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$515.32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$554.41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$606.52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8.3% WACC reflects the 0.7 beta floor. At a ~10% WACC, Base falls to roughly the current price (see the WACC grid).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cash ~$1.6B.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(20.8%), RONIC and terminal assumptions, and solve for the growth path that makes value = $254.07.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$8.33B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$9.26B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$11.17B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$13.17B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21.6%.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18.4% vs 21.6%: ≈ the base path → fair, symmetric.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TTR revenue grows ~18% a year for five years despite second-line normalisation and first-line competition.</w:t>
      </w:r>
    </w:p>
    <w:p>
      <w:pPr>
        <w:spacing w:after="100"/>
      </w:pPr>
      <w:r>
        <w:t xml:space="preserve">2. Operating margin expands from ~21% toward the 40%+ that mature biotechs earn.</w:t>
      </w:r>
    </w:p>
    <w:p>
      <w:pPr>
        <w:spacing w:after="100"/>
      </w:pPr>
      <w:r>
        <w:t xml:space="preserve">3. The RNAi pipeline delivers a second franchise before tafamidis generics pressure pricing.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 (RNAi platform; Amvuttra in ATTR-CM);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 assets (RNAi platform IP, delivery chemistry, Amvuttra outcomes data): wide in technology, but commercially concentrated in one franchise; CAP conditional.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positive (TTR +89%).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turning, from −75.7% (FY22) to 20.8% TTM operating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dilution ~2.2%/yr from stock compensation; fails the self-funded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Disclosure: management attributed the cut to demand normalisation; no integrity flags retrieved.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0.2%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0.85, forward P/E 20.4×.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77/100 (ROIC ex-GW –, op. margin 20.8%, FCF/NI –).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-46.9%; 3 months -15.6%.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0.30.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2.2%/yr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$0M; share count 2.2%/yr; price/Base 0.85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3/7 scorable → TRADE ONLY (business). MoS Gate BASE → TRADE ONLY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R&amp;D-heavy; group-level returns not yet demonstrated.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none material.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cash ~$1.6B.</w:t>
      </w:r>
    </w:p>
    <w:p>
      <w:pPr>
        <w:pStyle w:val="Heading2"/>
        <w:spacing w:after="120" w:before="240"/>
      </w:pPr>
      <w:r>
        <w:t xml:space="preserve">10. Sector Appendix — Biotech &amp; Pharma (B-BT)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Lead franchise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TTR +89%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Strong, but guidance cut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concentration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~80% TTR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20.8% TTM (13.5% FY25)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Early profitability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Pipeline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RNAi platform (cardiometabolic, CNS)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assessed this pass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$2.25B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$3.71B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$3.71B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81.6%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-109.0%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108.4×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$1.13B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tripled (FY22 $1.04B → FY25 $3.71B) and operating margin swung ~90pp: the Track C → Track B transition. One profitable year is not enough for the Compounder criteria.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44× trailing / 20× forward: the multiple already assumes margin expansion continues.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ALNY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B-BT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FastGrower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 (V 68 / Q 77 / G 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$152.15 / $297.29 / $477.18 (€134.12 / €262.06 / €420.64), WACC 8.3%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TRADE ONLY (3/7)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n/a (short-term agents)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Amvuttra revenue growth &lt; 30%, OR a pipeline safety setback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68, Quality 77, Growth 100 → 84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TTR revenue grows ~18% a year for five years despite second-line normalisation and first-line competition.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expands from ~21% toward the 40%+ that mature biotechs earn.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RNAi pipeline delivers a second franchise before tafamidis generics pressure pricing.</w:t>
      </w:r>
    </w:p>
    <w:p>
      <w:pPr>
        <w:spacing w:after="100"/>
      </w:pPr>
      <w:r>
        <w:t xml:space="preserve">Single biggest risk: Competition in ATTR cardiomyopathy (Pfizer's tafamidis generics, BridgeBio) and US pricing.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more quarters of ≥ 25% TTR growth with operating margin above 30% would start passing the Compounder criteria (→ QUALITY).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further guidance cut would move value toward Bear ($152.15 / €134).</w:t>
      </w:r>
    </w:p>
    <w:p>
      <w:pPr>
        <w:spacing w:after="100"/>
      </w:pPr>
      <w:r>
        <w:t xml:space="preserve">Sources (Recent Context): Alnylam Q2 2026 press release (investors.alnylam.com); Endpoints News; Yahoo Finance, ALNY stock tanks 28%; Investing.com Q2 slides /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2026-10-03T12:02:53.957Z</dcterms:created>
  <dcterms:modified xsi:type="dcterms:W3CDTF">2026-10-03T12:02:53.957Z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