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— AppLovin Corporation — Long-Term Deep-Dive</w:t>
      </w:r>
    </w:p>
    <w:p>
      <w:pPr>
        <w:spacing w:after="100"/>
      </w:pPr>
      <w:r>
        <w:t xml:space="preserve">Date: 2026-09-30 | Price: $305.66 / €269.44 (close Sept 29, 2026, yfinance; EUR/USD 1.134, GBP/USD 1.323) | Shares ~335M | Market cap ~$102.29B | Cash + ST inv. $2.49B / total debt $3.54B (FY2025) → net debt ~$1.06B | Next earnings: Q3 2026 in early Nov 2026 (date not confirmed)</w:t>
      </w:r>
    </w:p>
    <w:p>
      <w:pPr>
        <w:spacing w:after="100"/>
      </w:pPr>
      <w:r>
        <w:t xml:space="preserve">[FUNDAMENTAL DATA MISSING — APP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[SHARE COUNT: per-share values use all share classes (335M = market cap ÷ price). yfinance's 'sharesOutstanding' (304M) covers one class only; reports before 2026-10-03 used it and overstated per-share values by 10%.]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REFLATION, MEDIUM confidence, transitioning toward stagflation-lite (macro_report_2026-09-29): growth MIXED, inflation RISING.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10Y UST 5.27% (19-year high zone), 30Y 5.60%. Fed hiked Sept 16; an Oct 28 hike is ~65–73% priced.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Conference Board confidence 81.9 (weakest since Apr 2014), 1-yr inflation expectations 6.1%; JOLTS 7.08M (miss).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Leadership is narrow (QQQ flat, IWM −5.5% over 20 days); XLI and XLY below MA50; XLV/XLP lead defensively.</w:t>
      </w:r>
    </w:p>
    <w:p>
      <w:pPr>
        <w:spacing w:after="100"/>
      </w:pPr>
      <w:r>
        <w:rPr>
          <w:b/>
          <w:bCs/>
        </w:rPr>
        <w:t xml:space="preserve">Bottom line up front: QUALITY. Business COMPOUNDER (9/9 on the Compounder screen); MoS Gate BASE (price $305.66 / €269.44 vs Bear $204.09 / €179.91 / Base $319.35 / €281.50 / Bull $477.50 / €420.92 at a 11.4% WACC).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Correction (2026-10-03):</w:t>
      </w:r>
      <w:r>
        <w:t xml:space="preserve"> the 2026-09-30 version of this report divided company value by one share class only (yfinance 'sharesOutstanding'), overstating every per-share value. This version uses all share classes. AppLovin has ~335M economic shares (Class A plus founder Class B), not 304M. Values fell ~9%; the verdict stays </w:t>
      </w:r>
      <w:r>
        <w:rPr>
          <w:b/>
          <w:bCs/>
        </w:rPr>
        <w:t xml:space="preserve">QUALITY</w:t>
      </w:r>
      <w:r>
        <w:t xml:space="preserve">, with a thinner margin.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Q2 2026: revenue $1.92B (+53%), adj. EBITDA $1.61B (84% margin), EPS $3.76. Revenue missed consensus ($1.94B) and model improvements were lighter than usual; shares fell ~16% after hours and are now $305.66 (−54% over 12 months).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Corrected values: Bear $204.09 / Base $319.35 (€281.51) / Bull $477.50 vs a $305.66 price → BASE gate (price/Base 0.96). The price needs ~20.5% annual revenue growth, about the consensus-led path: fair, not cheap.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passes 9/9; P/E ~22× operating profit after tax, PEG ~0.5 on consensus growth.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quarter: Q2 2026 (quarter ended Jun 30, 2026), reported Aug 5, 2026 (source: AppLovin 8-K Ex. 99.1; TradingView; Investing.com call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$1.92B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$1.26B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vs consensus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$1.92B vs $1.94B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−1% miss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EBITDA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$1.61B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84% margin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income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$1.27B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$0.82B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Diluted EPS vs consensus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$3.76 vs $3.75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$2.39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+57%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Management said AXON model upgrades in the quarter were smaller than in prior quarters: growth is model-release driven.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Q3 2026 revenue $2.055–2.085B (≈ +7–9% QoQ); adj. EBITDA $1.71–1.74B (~83% margin).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Aug 5–6, 2026: shares −16% after hours on the revenue miss (Investing.com).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company is advertising-only after the 2025 sale of its apps (game studios) business; deal terms not re-verified this pass.</w:t>
      </w:r>
    </w:p>
    <w:p>
      <w:pPr>
        <w:spacing w:after="100"/>
      </w:pPr>
      <w:r>
        <w:t xml:space="preserve">Price: 52-week closing range $298.59–$733.60 (low 2026-08-24, high 2025-12-22). Returns: 1 month -3.8%, 3 months -40.7%, 12 months -54.4%, 12−1 months -52.6%. Below the 200-day average ($462.33). Consensus: 31 analysts, mean target $497.05 (62.6%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Business (single segment since the apps divestiture):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Advertising (AXON, AppDiscovery, MAX mediation)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AI-driven performance advertising for mobile games; expanding into e-commerce / web advertisers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$1.92B (Q2)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EBITDA $1.61B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advertisers; demand still concentrated in mobile gaming, with e-commerce / web in a self-serve ramp.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Unity (Vector), Google AdMob, Meta Audience Network.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retrieved; none stated.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B-TK.</w:t>
      </w:r>
      <w:r>
        <w:t xml:space="preserve"> Ad-tech platform with software economics (84% EBITDA margin, capex 0.5% of revenue): Track B-TK.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FastGrower.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FY2022 $2.82B → FY2025 $5.48B (CAGR 24.8%); diluted EPS FY2022 -0.52 → FY2025 9.75 (CAGR –; reported currency). Consensus next-year revenue growth 26.6%.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23.5× trailing on reported (GAAP) profit, 14.6× forward on consensus estimates (yfinance); </w:t>
      </w:r>
      <w:r>
        <w:rPr>
          <w:b/>
          <w:bCs/>
        </w:rPr>
        <w:t xml:space="preserve">22.3× on recurring operating profit after tax</w:t>
      </w:r>
      <w:r>
        <w:t xml:space="preserve"> (TTM),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0.49: forward P/E ÷ consensus EPS growth for the current and next fiscal year (41.2%/yr, capped at 30% because higher growth is rarely sustained).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CAGR 24.8% FY22–25 and +53% in Q2 2026; forward P/E 14.6× gives a PEG well below 1 on consensus growth.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-12.6%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$355M, OCF $1.06B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$1.58B, OCF $2.10B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$3.33B, OCF $3.97B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−9.7%: cash earnings exceed accounting earnings.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persistent series is operating income: margin −1.7% (FY22) → 75.8% (FY25) → 77.4% TTM. FY25 net income includes effects of the apps sale (not re-verified).</w:t>
      </w:r>
    </w:p>
    <w:p>
      <w:pPr>
        <w:spacing w:after="100"/>
      </w:pPr>
      <w:r>
        <w:t xml:space="preserve">ROIC (NOPLAT ÷ avg invested capital, equity + debt − cash): 17.6% (FY2023) → 46.1% (FY2024) → 101.0% (FY2025). ROIC ex-goodwill (latest): &gt; 40%. WACC 11.4%.</w:t>
      </w:r>
    </w:p>
    <w:p>
      <w:pPr>
        <w:spacing w:after="100"/>
      </w:pPr>
      <w:r>
        <w:t xml:space="preserve">Margin trend (FY2022–FY2025): gross 55.4% → 80.6% → 83.9% → 87.9%; operating -1.7% → 41.9% → 59.3% → 75.8%; TTM operating 77.4%.</w:t>
      </w:r>
    </w:p>
    <w:p>
      <w:pPr>
        <w:spacing w:after="100"/>
      </w:pPr>
      <w:r>
        <w:t xml:space="preserve">Dilution: share count 374M → 338M (-3.3%/yr). Last-FY buybacks $2.19B.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5.27%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10Y UST, macro_report_2026-09-29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4.5%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2.49,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11.57%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3.3%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11.38%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TTM revenue $6.83B; year-1 growth 26.6% (consensus next-year revenue growth), fading linearly to terminal g + 1pp; operating margin 77.4% (TTM op. margin); tax 13.1%; reinvestment = growth ÷ RONIC (Base RONIC 40.0%); Key-Value-Driver terminal value, g 3.0%. Net debt $1.06B.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@11.4%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@12.9%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18.6%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2.8%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74.4% (64.7%)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30.0% / 10.4%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$18.67B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$12.07B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$204.09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€179.91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$168.74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26.6%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4.0%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77.4% (67.3%)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40.0%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$27.76B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$18.67B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$319.35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€281.50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$260.19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34.5%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5.2%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79.4% (69.0%)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50.0%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$40.55B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$27.97B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$477.50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€420.92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$385.35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52% / 58% / 62% of EV (Bear / Base / Bull), below 60%: most value is in the explicit period.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~8.2×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(23.8×) persisted to year 10, Base would be $676.31 / €596.16 (+112% vs Method 1) — a &gt; 30% divergence, re-examined: the gap is the terminal-multiple assumption (Method 2 assumes today's market multiple, set in a lower-rate regime, persists for a decade). Method 1 stays the anchor per Koller.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$410.16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$425.76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$443.34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$486.59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$350.44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$361.04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$372.70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$400.21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$303.94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$311.35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$319.35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$337.56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$266.80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$272.10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$277.72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$290.14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11.4%,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$228.77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$233.44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$238.12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$244.35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$306.85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$313.10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$319.35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$327.68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$411.92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$420.28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$428.65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$439.80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$552.34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$563.53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$574.73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$589.65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Shares: ~335M across Class A and Class B (market cap ÷ price).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Cost of equity 11.6% (beta clipped to 1.4). Net debt ~$1.1B.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(77.4%), RONIC and terminal assumptions, and solve for the growth path that makes value = $305.66.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9.9%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0.73×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$14.12B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0.80×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$15.17B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0.96×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$17.38B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12.4%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1.10×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$19.75B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21.5%.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20.5% vs 21.5%: ≈ the base path → fair, symmetric.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compounds ~20% a year for five years (the price's requirement), about the consensus path.</w:t>
      </w:r>
    </w:p>
    <w:p>
      <w:pPr>
        <w:spacing w:after="100"/>
      </w:pPr>
      <w:r>
        <w:t xml:space="preserve">2. AXON keeps improving and e-commerce advertisers scale beyond gaming.</w:t>
      </w:r>
    </w:p>
    <w:p>
      <w:pPr>
        <w:spacing w:after="100"/>
      </w:pPr>
      <w:r>
        <w:t xml:space="preserve">3. Adj. EBITDA margin stays above 75%.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Network effects/data scale in mobile ad-tech (AXON); wide; </w:t>
      </w:r>
      <w:r>
        <w:rPr>
          <w:b/>
          <w:bCs/>
        </w:rPr>
        <w:t xml:space="preserve">CAP 7–10y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scale / network effects in mobile ad targeting: wide within its niche; CAP 7–10 years, conditional on the e-commerce expansion.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positive (+53% growth; e-commerce is the new market).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best-in-class and still expanding (operating margin 59% → 76% → 77% TTM).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none; share count −3.3%/yr.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Management: founder-led (insiders 14.3%). Short-seller reports and regulatory scrutiny in 2025 (not re-verified) are the integrity watch item.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14.3%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0.96, forward P/E 14.6×.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91/100 (ROIC ex-GW 174.1%, op. margin 77.4%, FCF/NI 133.2%).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Negative: 12−1 month -52.6%; 3 months -40.7%.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2.49.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18% / 46% / 101%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77.4%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133%; last FY 118%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-3.3%/yr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14.3%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$2.19B; share count -3.3%/yr; price/Base 0.96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21.2%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9/9 scorable → COMPOUNDER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capex 0.5% of revenue; ROIC ex-goodwill &gt; 100%.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Buybacks: heavy, at prices now below Base (passes).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M&amp;A: sold the lower-quality apps business, a capital-allocation positive.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debt ~$1.1B.</w:t>
      </w:r>
    </w:p>
    <w:p>
      <w:pPr>
        <w:pStyle w:val="Heading2"/>
        <w:spacing w:after="120" w:before="240"/>
      </w:pPr>
      <w:r>
        <w:t xml:space="preserve">10. Sector Appendix — Ad-Tech Software (B-TK)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+53% YoY (Q2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 (&gt; 30%)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EBITDA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84%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Exceptional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&gt; 100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Exceptional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87.9% (FY25)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NRR / customer metrics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disclosed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Concentration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Mostly mobile-gaming advertisers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Watch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$2.82B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$1.84B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$3.22B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$5.48B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$5.48B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75.1%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70.0%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55.4%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87.9%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73.2%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48.9%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60.8%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206.7%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68.4×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30.7×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66.3×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63.2×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28.4×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106.8×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35.0×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18.9×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47.9×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52.7×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23.8×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3.26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−$2.20B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−$2.68B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−$2.86B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−$1.06B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−$1.06B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64.3%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71.9%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$64M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$28M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281%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118%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17.6%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46.1%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101.0%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139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374M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338M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338M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34.4%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24.8%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21.2%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fell from $2.82B (FY22) to $1.84B (FY23) as the apps business shrank, then rose to $5.48B (FY25): the series mixes the divestiture with the advertising ramp.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compressed to 23.5× trailing / 14.6× forward while EPS rose ~10× in three years: the de-rating is about durability, not current profitability.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FCF/NI of 133% and a share count falling 3.3%/yr are the hard numbers behind the 9/9 Compounder score.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APP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B-TK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FastGrower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91 (V 71 / Q 91 / G 100)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$204.09 / $319.35 / $477.50 (€179.91 / €281.50 / €420.92), WACC 11.4%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(9/9)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TAILWIND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Advertising revenue growth &lt; 20% for 2 quarters, OR adj. EBITDA margin &lt; 70%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B: Value 20% / Quality 40% / Growth 40%): Value 71, Quality 91, Growth 100 → 91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compounds ~20% a year for five years (the price's requirement), about the consensus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AXON keeps improving and e-commerce advertisers scale beyond gaming.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Adj. EBITDA margin stays above 75%.</w:t>
      </w:r>
    </w:p>
    <w:p>
      <w:pPr>
        <w:spacing w:after="100"/>
      </w:pPr>
      <w:r>
        <w:t xml:space="preserve">Single biggest risk: Concentration in mobile gaming ads; e-commerce ad expansion unproven; short-seller/regulatory scrutiny.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quarters of advertising growth below 20% would push value toward Bear ($204 / €180).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Scaled e-commerce revenue would bring the Bull case ($477.50) into view.</w:t>
      </w:r>
    </w:p>
    <w:p>
      <w:pPr>
        <w:spacing w:after="100"/>
      </w:pPr>
      <w:r>
        <w:t xml:space="preserve">Sources (Recent Context): AppLovin Q2 2026 8-K Ex. 99.1 (sec.gov); TradingView News; Investing.com Q2 2026 call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2026-10-03T12:02:54.132Z</dcterms:created>
  <dcterms:modified xsi:type="dcterms:W3CDTF">2026-10-03T12:02:54.132Z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