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BKNG — Booking Holdings Inc. — Long-Term Deep-Dive</w:t>
      </w:r>
    </w:p>
    <w:p>
      <w:pPr>
        <w:spacing w:after="100"/>
      </w:pPr>
      <w:r>
        <w:t xml:space="preserve">Date: 2026-09-30 | Price: $162.34 / €143.10 (close Sept 29, 2026, yfinance; EUR/USD 1.134, GBP/USD 1.323) | Shares ~775M | Market cap ~$125.79B | Cash + ST inv. $17.20B / total debt $19.29B (FY2025) → net debt ~$2.09B | Next earnings: Q3 2026 in late Oct 2026 (date not confirmed)</w:t>
      </w:r>
    </w:p>
    <w:p>
      <w:pPr>
        <w:spacing w:after="100"/>
      </w:pPr>
      <w:r>
        <w:t xml:space="preserve">[FUNDAMENTAL DATA MISSING — BKNG is not in ./data/fundamental_data.json. Figures come from yfinance statements (FY2022–FY2025), company releases and press coverage cited in §0; valuation uses the same engine as LT_SCREEN_2026-09-29 (FCFF / excess-return model, market-specific risk-free rates).]</w:t>
      </w:r>
    </w:p>
    <w:p>
      <w:pPr>
        <w:spacing w:after="100"/>
      </w:pPr>
      <w:r>
        <w:t xml:space="preserve">Macro backdrop (data/daily_macro_report/macro_report_2026-09-29.md; data/macro_regime.json):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REFLATION, MEDIUM confidence, transitioning toward stagflation-lite (macro_report_2026-09-29): growth MIXED, inflation RISING.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10Y UST 5.27% (19-year high zone), 30Y 5.60%. Fed hiked Sept 16; an Oct 28 hike is ~65–73% priced.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Conference Board confidence 81.9 (weakest since Apr 2014), 1-yr inflation expectations 6.1%; JOLTS 7.08M (miss).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Leadership is narrow (QQQ flat, IWM −5.5% over 20 days); XLI and XLY below MA50; XLV/XLP lead defensively.</w:t>
      </w:r>
    </w:p>
    <w:p>
      <w:pPr>
        <w:spacing w:after="100"/>
      </w:pPr>
      <w:r>
        <w:rPr>
          <w:b/>
          <w:bCs/>
        </w:rPr>
        <w:t xml:space="preserve">Bottom line up front: QUALITY. Business COMPOUNDER (7/8 on the Compounder screen); MoS Gate BASE (price $162.34 / €143.10 vs Bear $120.37 / €106.10 / Base $172.62 / €152.17 / Bull $221.42 / €195.18 at a 9.4% WACC).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Q2 2026: room nights 325M (+5%, ~1pp above guidance), gross bookings $51.0B (+9%), revenue $7.4B (+8%), adj. EPS $2.54 (post 25-for-1 split on Apr 2, 2026). Q3 room-night guide +3%.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Price $162.34 is just below Base $172.62 (€152.17): the market prices ~7% 5-yr revenue growth, close to the ~8% consensus-led path. Fair, with little margin of safety.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Business 7/8 scorable (negative equity makes ROIC unmeasurable in some years; fails only insider ownership) → QUALITY at a BASE gate.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structural question is AI agents intermediating travel search; the numbers do not show it yet (room nights +5%).</w:t>
      </w:r>
    </w:p>
    <w:p>
      <w:pPr>
        <w:pStyle w:val="Heading2"/>
        <w:spacing w:after="120" w:before="240"/>
      </w:pPr>
      <w:r>
        <w:t xml:space="preserve">0. Recent Context</w:t>
      </w:r>
    </w:p>
    <w:p>
      <w:pPr>
        <w:spacing w:after="100"/>
      </w:pPr>
      <w:r>
        <w:t xml:space="preserve">Last reported quarter: Q2 2026 (quarter ended Jun 30, 2026), reported late Jul 2026 (source: Booking 8-K Ex. 99.1; Investing.com; Yahoo Finance).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2200"/>
        <w:gridCol w:w="2238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Metric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Latest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Prior-year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Δ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Room nights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325M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309M [derived]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+5%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Gross bookings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$51.0B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$46.7B [derived]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+9%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Revenue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$7.4B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$6.8B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+8%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Adj. EPS (post-split)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$2.54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beat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Q2 exceeded guidance on room nights (~+1pp) and gross bookings (~+3pp above the top end).</w:t>
      </w:r>
    </w:p>
    <w:p>
      <w:pPr>
        <w:spacing w:after="100"/>
      </w:pPr>
      <w:r>
        <w:t xml:space="preserve">Guidance / outlook: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Q3 2026 room nights +3% (search summary; full guidance table not retrieved).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Coverage headlines conflict on the full-year outlook: one reports a trimmed annual outlook and a room-night miss, another a beat with shares up. The quarter itself beat; treat the FY outlook as unconfirmed.</w:t>
      </w:r>
    </w:p>
    <w:p>
      <w:pPr>
        <w:spacing w:after="100"/>
      </w:pPr>
      <w:r>
        <w:t xml:space="preserve">Recent news (trailing ~90 days):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Apr 2, 2026: 25-for-1 stock split effected.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Record capital return in Q2 (Investing.com slides); amounts not retrieved.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Q1 2026 was affected by Middle East headwinds.</w:t>
      </w:r>
    </w:p>
    <w:p>
      <w:pPr>
        <w:spacing w:after="100"/>
      </w:pPr>
      <w:r>
        <w:t xml:space="preserve">Price: 52-week closing range $154.13–$221.92 (low 2026-05-15, high 2025-09-26). Returns: 1 month -21.1%, 3 months -8.9%, 12 months -26.8%, 12−1 months -7.3%. Below the 200-day average ($183.44). Consensus: 37 analysts, mean target $238.78 (47.1% vs price).</w:t>
      </w:r>
    </w:p>
    <w:p>
      <w:pPr>
        <w:pStyle w:val="Heading2"/>
        <w:spacing w:after="120" w:before="240"/>
      </w:pPr>
      <w:r>
        <w:t xml:space="preserve">1. Business Overview</w:t>
      </w:r>
    </w:p>
    <w:p>
      <w:pPr>
        <w:spacing w:after="100"/>
      </w:pPr>
      <w:r>
        <w:t xml:space="preserve">Brands (single reporting segment):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38"/>
        <w:gridCol w:w="1200"/>
        <w:gridCol w:w="900"/>
        <w:gridCol w:w="1200"/>
        <w:gridCol w:w="110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Segment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What it does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Revenue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Share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Profit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Margin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Booking.com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Global hotel / alternative-accommodation marketplace; payments; flights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~88% [EST]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Priceline, Agoda, KAYAK, OpenTable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US discount travel, Asia OTA, meta-search, restaurants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~12% [EST]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Brand split is indicative; the company reports one segment.</w:t>
      </w:r>
    </w:p>
    <w:p>
      <w:pPr>
        <w:spacing w:after="100"/>
      </w:pPr>
      <w:r>
        <w:t xml:space="preserve">Principal markets: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Europe is the core (roughly half of room nights), then Asia and the US.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Customers: travellers (demand side), hotels and alternative-accommodation hosts (supply side).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Competitors: Expedia, Airbnb, Google Travel, Trip.com, direct hotel booking, AI agents.</w:t>
      </w:r>
    </w:p>
    <w:p>
      <w:pPr>
        <w:spacing w:after="100"/>
      </w:pPr>
      <w:r>
        <w:t xml:space="preserve">TAM: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sourced TAM retrieved; none stated.</w:t>
      </w:r>
    </w:p>
    <w:p>
      <w:pPr>
        <w:pStyle w:val="Heading2"/>
        <w:spacing w:after="120" w:before="240"/>
      </w:pPr>
      <w:r>
        <w:t xml:space="preserve">2. Routing</w:t>
      </w:r>
    </w:p>
    <w:p>
      <w:pPr>
        <w:spacing w:after="100"/>
      </w:pPr>
      <w:r>
        <w:rPr>
          <w:b/>
          <w:bCs/>
        </w:rPr>
        <w:t xml:space="preserve">Track B-MK.</w:t>
      </w:r>
      <w:r>
        <w:t xml:space="preserve"> Two-sided marketplace with capital-light economics (capex 1.2% of revenue): Track B-MK. Valuation anchor: FCFF DCF (Koller).</w:t>
      </w:r>
    </w:p>
    <w:p>
      <w:pPr>
        <w:pStyle w:val="Heading2"/>
        <w:spacing w:after="120" w:before="240"/>
      </w:pPr>
      <w:r>
        <w:t xml:space="preserve">3. Categorization (Lynch)</w:t>
      </w:r>
    </w:p>
    <w:p>
      <w:pPr>
        <w:spacing w:after="100"/>
      </w:pPr>
      <w:r>
        <w:rPr>
          <w:b/>
          <w:bCs/>
        </w:rPr>
        <w:t xml:space="preserve">Stalwart.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Revenue FY2022 $17.09B → FY2025 $26.92B (CAGR 16.3%); diluted EPS FY2022 3.054 → FY2025 6.6228 (CAGR 29.4%; reported currency). Consensus next-year revenue growth 9.4%.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P/E 18.0× trailing on reported (GAAP) profit, 13.1× forward on consensus estimates (yfinance); </w:t>
      </w:r>
      <w:r>
        <w:rPr>
          <w:b/>
          <w:bCs/>
        </w:rPr>
        <w:t xml:space="preserve">16.3× on recurring operating profit after tax</w:t>
      </w:r>
      <w:r>
        <w:t xml:space="preserve"> (TTM), the P/E that excludes investment gains, disposal gains and other one-offs.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PEG ≈ 0.80: forward P/E ÷ consensus EPS growth for the current and next fiscal year (16.5%/yr). Lynch: below 1 = growth is cheap, around 1 = fair, above 2 = expensive. Past growth spikes are not used.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Revenue CAGR 16.3% (FY22–25) includes the post-Covid recovery; the forward run-rate is high single digits.</w:t>
      </w:r>
    </w:p>
    <w:p>
      <w:pPr>
        <w:pStyle w:val="Heading2"/>
        <w:spacing w:after="120" w:before="240"/>
      </w:pPr>
      <w:r>
        <w:t xml:space="preserve">4. Earnings Quality (Penman)</w:t>
      </w:r>
    </w:p>
    <w:p>
      <w:pPr>
        <w:spacing w:after="100"/>
      </w:pPr>
      <w:r>
        <w:t xml:space="preserve">Accrual ratio, (NI − OCF) / avg total assets: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6138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Year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Accrual ratio</w:t>
            </w:r>
          </w:p>
        </w:tc>
        <w:tc>
          <w:tcPr>
            <w:tcW w:type="dxa" w:w="6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Components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FY2023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-12.3%</w:t>
            </w:r>
          </w:p>
        </w:tc>
        <w:tc>
          <w:tcPr>
            <w:tcW w:type="dxa" w:w="6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NI $4.29B, OCF $7.34B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FY2024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-9.4%</w:t>
            </w:r>
          </w:p>
        </w:tc>
        <w:tc>
          <w:tcPr>
            <w:tcW w:type="dxa" w:w="6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NI $5.88B, OCF $8.32B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FY2025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-14.1%</w:t>
            </w:r>
          </w:p>
        </w:tc>
        <w:tc>
          <w:tcPr>
            <w:tcW w:type="dxa" w:w="6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NI $5.40B, OCF $9.41B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No Sloan flag: earnings are cash-backed at the operating level.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Accrual ratio −14.1%: cash earnings exceed accounting earnings (merchant model: customer prepayments).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Negative book equity (buybacks) makes ROE/ROIC unmeasurable in some years; the persistent series is operating margin 29.9% (FY22) → 34.5% (FY25).</w:t>
      </w:r>
    </w:p>
    <w:p>
      <w:pPr>
        <w:spacing w:after="100"/>
      </w:pPr>
      <w:r>
        <w:t xml:space="preserve">ROIC (NOPLAT ÷ avg invested capital, equity + debt − cash): 328.6% (FY2023). ROIC ex-goodwill (latest): &gt; 40%. WACC 9.4%.</w:t>
      </w:r>
    </w:p>
    <w:p>
      <w:pPr>
        <w:spacing w:after="100"/>
      </w:pPr>
      <w:r>
        <w:t xml:space="preserve">Margin trend (FY2022–FY2025): gross n/a; operating 29.9% → 27.3% → 31.8% → 34.5%; TTM operating 34.5%.</w:t>
      </w:r>
    </w:p>
    <w:p>
      <w:pPr>
        <w:spacing w:after="100"/>
      </w:pPr>
      <w:r>
        <w:t xml:space="preserve">Dilution: share count 947M → 797M (-5.6%/yr). Last-FY buybacks $6.44B.</w:t>
      </w:r>
    </w:p>
    <w:p>
      <w:pPr>
        <w:pStyle w:val="Heading2"/>
        <w:spacing w:after="120" w:before="240"/>
      </w:pPr>
      <w:r>
        <w:t xml:space="preserve">5. Valuation — DCF (Koller)</w:t>
      </w:r>
    </w:p>
    <w:p>
      <w:pPr>
        <w:spacing w:after="100"/>
      </w:pPr>
      <w:r>
        <w:t xml:space="preserve">WACC construction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5438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Input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Value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Note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Risk-free rate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5.27%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10Y UST, macro_report_2026-09-29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Equity risk premium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4.5%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Agent calibration (Damodaran implied)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Beta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1.07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yfinance raw 1.07, clipped to 0.7–1.4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Cost of equity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10.08%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rf + β × ERP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Debt weight D/V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13.3%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market-value weights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WACC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9.45%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floor 7%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Model: 10-year explicit FCFF from TTM revenue $28.24B; year-1 growth 9.4% (consensus next-year revenue growth), fading linearly to terminal g + 1pp; operating margin 34.5% (TTM op. margin); tax 20.9%; reinvestment = growth ÷ RONIC (Base RONIC 40.0%); Key-Value-Driver terminal value, g 3.0%. Net debt $2.09B.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00"/>
        <w:gridCol w:w="800"/>
        <w:gridCol w:w="1150"/>
        <w:gridCol w:w="1200"/>
        <w:gridCol w:w="1000"/>
        <w:gridCol w:w="1000"/>
        <w:gridCol w:w="1000"/>
        <w:gridCol w:w="888"/>
        <w:gridCol w:w="100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Scenario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Yr-1 growth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Yr-10 growth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Op. margin (NOPLAT)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RONIC expl. / terminal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Yr-10 revenue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Yr-10 NOPLAT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Value @9.4%</w:t>
            </w:r>
          </w:p>
        </w:tc>
        <w:tc>
          <w:tcPr>
            <w:tcW w:type="dxa" w:w="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€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Value @10.9%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Bear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6.6%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2.8%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31.5% (24.9%)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30.0% / 8.4%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$44.68B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$11.13B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$120.37</w:t>
            </w:r>
          </w:p>
        </w:tc>
        <w:tc>
          <w:tcPr>
            <w:tcW w:type="dxa" w:w="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€106.10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$98.55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Base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9.4%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4.0%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34.5% (27.3%)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40.0% / 15.0%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$54.02B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$14.74B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$172.62</w:t>
            </w:r>
          </w:p>
        </w:tc>
        <w:tc>
          <w:tcPr>
            <w:tcW w:type="dxa" w:w="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€152.17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$138.44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Bull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12.3%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5.2%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36.5% (28.9%)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50.0% / 20.0%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$65.08B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$18.78B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$221.42</w:t>
            </w:r>
          </w:p>
        </w:tc>
        <w:tc>
          <w:tcPr>
            <w:tcW w:type="dxa" w:w="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€195.18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$175.89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Terminal value is 49% / 56% / 60% of EV (Bear / Base / Bull), below 60%: most value is in the explicit period.</w:t>
      </w:r>
    </w:p>
    <w:p>
      <w:pPr>
        <w:spacing w:after="100"/>
      </w:pPr>
      <w:r>
        <w:t xml:space="preserve">Exit-multiple cross-check (Method 2):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Key-Value-Driver terminal implies ~9.3× year-10 EBITDA (Base).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today's EV/EBITDA (12.7×) persisted to year 10, Base would be $208.40 / €183.70 (+21% vs Method 1); the two methods agree within 30%.</w:t>
      </w:r>
    </w:p>
    <w:p>
      <w:pPr>
        <w:spacing w:after="100"/>
      </w:pPr>
      <w:r>
        <w:rPr>
          <w:b/>
          <w:bCs/>
        </w:rPr>
        <w:t xml:space="preserve">MoS Gate: BASE.</w:t>
      </w:r>
      <w:r>
        <w:t xml:space="preserve"> Price ≤ Base value (clears QUALITY).</w:t>
      </w:r>
    </w:p>
    <w:p>
      <w:pPr>
        <w:spacing w:after="100"/>
      </w:pPr>
      <w:r>
        <w:t xml:space="preserve">Sensitivity (Benninga), Base case — WACC × terminal g (value per share):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38"/>
        <w:gridCol w:w="1925"/>
        <w:gridCol w:w="1925"/>
        <w:gridCol w:w="1925"/>
        <w:gridCol w:w="1925"/>
      </w:tblGrid>
      <w:tr>
        <w:trPr>
          <w:tblHeader/>
        </w:trP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WACC \ g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2.0%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2.5%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3.0%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4.0%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7.4%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$225.73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$238.59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$254.05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$297.27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8.4%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$188.52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$196.56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$205.87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$229.93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9.4%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$161.37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$166.67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$172.62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$187.21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10.4%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$140.69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$144.32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$148.31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$157.66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Growth multiplier × operating-margin shift (WACC 9.4%, value per share):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38"/>
        <w:gridCol w:w="1925"/>
        <w:gridCol w:w="1925"/>
        <w:gridCol w:w="1925"/>
        <w:gridCol w:w="1925"/>
      </w:tblGrid>
      <w:tr>
        <w:trPr>
          <w:tblHeader/>
        </w:trP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Growth \ margin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−300bp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−150bp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Base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+200bp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0.7× base path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$137.57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$144.25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$150.93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$159.83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1.0× base path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$157.37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$165.00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$172.62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$182.79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1.3× base path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$180.28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$188.99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$197.71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$209.33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1.6× base path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$206.72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$216.70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$226.67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$239.97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WACC 9.4%. Net debt ~$2.1B.</w:t>
      </w:r>
    </w:p>
    <w:p>
      <w:pPr>
        <w:pStyle w:val="Heading2"/>
        <w:spacing w:after="120" w:before="240"/>
      </w:pPr>
      <w:r>
        <w:t xml:space="preserve">6. Mauboussin — Price-Implied Expectations</w:t>
      </w:r>
    </w:p>
    <w:p>
      <w:pPr>
        <w:spacing w:after="100"/>
      </w:pPr>
      <w:r>
        <w:t xml:space="preserve">What the price needs: hold the Base margin (34.5%), RONIC and terminal assumptions, and solve for the growth path that makes value = $162.34.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600"/>
        <w:gridCol w:w="2538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WACC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Multiple of base growth path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Implied 5-yr revenue CAGR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Revenue in yr 5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7.9%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0.30×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2.5%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$31.89B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8.4%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0.49×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4.1%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$34.47B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9.4%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0.86×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7.1%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$39.79B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10.4%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1.21×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9.9%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$45.37B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Against the base rate: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Base path (consensus-led) 5-yr CAGR: 8.2%. Mauboussin base rates: companies growing 20–30% typically grow ~12–15% the next year; very few large companies sustain &gt; 15% for a decade.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At the house WACC the price needs 7.1% vs 8.2%: ≈ the base path → fair, symmetric.</w:t>
      </w:r>
    </w:p>
    <w:p>
      <w:pPr>
        <w:spacing w:after="100"/>
      </w:pPr>
      <w:r>
        <w:t xml:space="preserve">What has to be true:</w:t>
      </w:r>
    </w:p>
    <w:p>
      <w:pPr>
        <w:spacing w:after="100"/>
      </w:pPr>
      <w:r>
        <w:t xml:space="preserve">1. Room nights keep growing ~4–6% and take rate holds: the price needs ~7% revenue growth for five years.</w:t>
      </w:r>
    </w:p>
    <w:p>
      <w:pPr>
        <w:spacing w:after="100"/>
      </w:pPr>
      <w:r>
        <w:t xml:space="preserve">2. Google and AI agents remain traffic partners rather than disintermediators.</w:t>
      </w:r>
    </w:p>
    <w:p>
      <w:pPr>
        <w:spacing w:after="100"/>
      </w:pPr>
      <w:r>
        <w:t xml:space="preserve">3. Marketing efficiency holds (direct/app share rising).</w:t>
      </w:r>
    </w:p>
    <w:p>
      <w:pPr>
        <w:spacing w:after="100"/>
      </w:pPr>
      <w:r>
        <w:t xml:space="preserve">Moat and CAP: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Network effects (two-sided hotel marketplace) + scale in performance marketing; wide; </w:t>
      </w:r>
      <w:r>
        <w:rPr>
          <w:b/>
          <w:bCs/>
        </w:rPr>
        <w:t xml:space="preserve">CAP 10–15y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Two-sided network effects (supply depth in Europe) plus scale in performance marketing: wide; CAP 10–15 years, with AI intermediation the key threat.</w:t>
      </w:r>
    </w:p>
    <w:p>
      <w:pPr>
        <w:pStyle w:val="Heading2"/>
        <w:spacing w:after="120" w:before="240"/>
      </w:pPr>
      <w:r>
        <w:t xml:space="preserve">7. Fisher — Qualitative Checklist (points the data speaks to)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#5/#6 Margins: operating margin up ~5pp since FY22.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#11 Competitive edge: strong supply-side lead, especially in European independent hotels.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#13 Equity financing: none; share count −5.6%/yr, the most aggressive buyback in the group.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#15 Insiders 0.2%.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#15 Management alignment: insiders hold 0.2% of shares (yfinance aggregate).</w:t>
      </w:r>
    </w:p>
    <w:p>
      <w:pPr>
        <w:pStyle w:val="Heading2"/>
        <w:spacing w:after="120" w:before="240"/>
      </w:pPr>
      <w:r>
        <w:t xml:space="preserve">8. Ilmanen — Factor Read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38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Factor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Read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Value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Partial: price/Base DCF 0.94, forward P/E 13.1×.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Quality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Present: quality sub-score 97/100 (ROIC ex-GW –, op. margin 34.5%, FCF/NI 154.0%).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Momentum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Neutral: 12−1 month -7.3%; 3 months -8.9%.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Low beta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Absent: beta 1.07.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Net: a single-factor (quality) name.</w:t>
      </w:r>
    </w:p>
    <w:p>
      <w:pPr>
        <w:pStyle w:val="Heading2"/>
        <w:spacing w:after="120" w:before="240"/>
      </w:pPr>
      <w:r>
        <w:t xml:space="preserve">9. Quality Compounder Screen (Framework 8)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5838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Criterion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Result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Evidence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ROIC avg &gt; 15%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329%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ROIC trend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n/a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n/a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Op. margin &gt; 15%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34.5%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FCF/NI &gt; 80%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3-yr 154%; last FY 168%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CapEx/Rev &lt; 10%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1.2%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Self-funded (dilution ≤ 1%/yr)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share count -5.6%/yr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Insider ownership &gt; 0.5%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FAIL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0.2% aggregate insiders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Buybacks at/below value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last-FY buybacks $6.44B; share count -5.6%/yr; price/Base 0.94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Goodwill &lt; 40% of assets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goodwill 9.1% of assets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b/>
          <w:bCs/>
        </w:rPr>
        <w:t xml:space="preserve">7/8 scorable → COMPOUNDER (business). MoS Gate BASE → QUALITY at today's price.</w:t>
      </w:r>
    </w:p>
    <w:p>
      <w:pPr>
        <w:spacing w:after="100"/>
      </w:pPr>
      <w:r>
        <w:t xml:space="preserve">Capital allocation (Thorndike):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Reinvestment: capex ~1% of revenue.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Buybacks: very large (share count −5.6%/yr), now near Base value.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M&amp;A: disciplined (goodwill 9.1% of assets).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Debt: modest net debt.</w:t>
      </w:r>
    </w:p>
    <w:p>
      <w:pPr>
        <w:pStyle w:val="Heading2"/>
        <w:spacing w:after="120" w:before="240"/>
      </w:pPr>
      <w:r>
        <w:t xml:space="preserve">10. Sector Appendix — Marketplaces &amp; Platforms (B-MK)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700"/>
        <w:gridCol w:w="3338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Metric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Current value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Read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Room-night growth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+5% (Q2 2026); Q3 guide +3%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Healthy but slowing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Gross bookings growth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+9%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Solid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Take rate (revenue / gross bookings)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~14.5%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Stable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Operating margin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34.5% (FY25)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Expanding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FCF conversion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154% (3-yr)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Strong (merchant float)</w:t>
            </w:r>
          </w:p>
        </w:tc>
      </w:tr>
    </w:tbl>
    <w:p>
      <w:pPr>
        <w:spacing w:after="60"/>
      </w:pPr>
    </w:p>
    <w:p>
      <w:pPr>
        <w:pStyle w:val="Heading2"/>
        <w:spacing w:after="120" w:before="240"/>
      </w:pPr>
      <w:r>
        <w:t xml:space="preserve">11. Five-Year Ratio Trend Analysis</w:t>
      </w:r>
    </w:p>
    <w:p>
      <w:pPr>
        <w:spacing w:after="100"/>
      </w:pPr>
      <w:r>
        <w:t xml:space="preserve">4 fiscal years available from yfinance (FY2022–FY2025) — fewer than five; not padded. Historical multiples use the fiscal-year-end share price; the last column uses the Sept 29, 2026 price on the latest fiscal-year fundamentals. EBITDA = operating income + D&amp;A. Amounts in the listing currency (converted from reporting currency where different).</w:t>
      </w:r>
    </w:p>
    <w:p>
      <w:pPr>
        <w:pStyle w:val="Heading3"/>
        <w:spacing w:after="80" w:before="160"/>
      </w:pPr>
      <w:r>
        <w:t xml:space="preserve">Base Ratio Table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38"/>
        <w:gridCol w:w="1540"/>
        <w:gridCol w:w="1540"/>
        <w:gridCol w:w="1540"/>
        <w:gridCol w:w="1540"/>
        <w:gridCol w:w="1540"/>
      </w:tblGrid>
      <w:tr>
        <w:trPr>
          <w:tblHeader/>
        </w:trP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Metric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FY2022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FY2023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FY2024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FY2025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Current price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Revenue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$17.09B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$21.36B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$23.74B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$26.92B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$26.92B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Revenue growth YoY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25.0%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11.1%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13.4%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13.4%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Gross margin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EBITDA margin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33.4%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30.4%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35.0%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37.3%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37.3%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Net margin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17.9%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20.1%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24.8%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20.1%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20.1%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ROE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22573.7%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P/E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25.0×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28.4×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27.8×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31.6×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23.3×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P/E on operating profit after tax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18.9×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26.4×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27.4×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23.3×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17.1×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P/S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4.5×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5.7×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6.9×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6.3×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4.7×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P/B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27.4×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EV/Revenue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4.5×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5.8×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6.9×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6.4×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4.8×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EV/EBITDA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13.5×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19.1×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19.8×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17.2×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12.7×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Debt/Equity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4.69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Net cash / (net debt)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−$641M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−$2.10B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−$917M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−$2.09B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−$2.09B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FCF margin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36.2%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32.8%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33.3%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33.8%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33.8%</w:t>
            </w:r>
          </w:p>
        </w:tc>
      </w:tr>
    </w:tbl>
    <w:p>
      <w:pPr>
        <w:spacing w:after="60"/>
      </w:pPr>
    </w:p>
    <w:p>
      <w:pPr>
        <w:pStyle w:val="Heading3"/>
        <w:spacing w:after="80" w:before="160"/>
      </w:pPr>
      <w:r>
        <w:t xml:space="preserve">Sector-Specific Ratio Table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38"/>
        <w:gridCol w:w="1540"/>
        <w:gridCol w:w="1540"/>
        <w:gridCol w:w="1540"/>
        <w:gridCol w:w="1540"/>
        <w:gridCol w:w="1540"/>
      </w:tblGrid>
      <w:tr>
        <w:trPr>
          <w:tblHeader/>
        </w:trP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Metric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FY2022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FY2023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FY2024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FY2025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Current price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Capex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$368M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$345M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$429M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$322M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$322M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Capex / revenue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2.2%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1.6%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1.8%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1.2%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1.2%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D&amp;A / revenue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3.6%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3.1%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3.2%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2.9%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2.9%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FCF / net income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202%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163%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134%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168%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168%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ROIC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328.6%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Rule of 40 (growth + FCF margin)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58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44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47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47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Shares outstanding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947M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860M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824M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797M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797M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Goodwill / assets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11.1%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11.6%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10.1%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9.1%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9.1%</w:t>
            </w:r>
          </w:p>
        </w:tc>
      </w:tr>
    </w:tbl>
    <w:p>
      <w:pPr>
        <w:spacing w:after="60"/>
      </w:pPr>
    </w:p>
    <w:p>
      <w:pPr>
        <w:pStyle w:val="Heading3"/>
        <w:spacing w:after="80" w:before="160"/>
      </w:pPr>
      <w:r>
        <w:t xml:space="preserve">Interpretation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Operating margin rose to 34.5% while the share count fell 5.6%/yr: per-share value compounding is the thesis.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P/E fell to ~18× trailing / 13× forward (below FY23–24 year-end multiples): the AI-agent fear is in the price.</w:t>
      </w:r>
    </w:p>
    <w:p>
      <w:pPr>
        <w:pStyle w:val="Heading2"/>
        <w:spacing w:after="120" w:before="240"/>
      </w:pPr>
      <w:r>
        <w:t xml:space="preserve">12. Final Verdict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650"/>
        <w:gridCol w:w="800"/>
        <w:gridCol w:w="900"/>
        <w:gridCol w:w="800"/>
        <w:gridCol w:w="1300"/>
        <w:gridCol w:w="700"/>
        <w:gridCol w:w="900"/>
        <w:gridCol w:w="750"/>
        <w:gridCol w:w="600"/>
        <w:gridCol w:w="1678"/>
      </w:tblGrid>
      <w:tr>
        <w:trPr>
          <w:tblHeader/>
        </w:trP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TICKER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Track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Category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F-Score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F-Rating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DCF Bear-Base-Bull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MoS Gate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Compounder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AI Impact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Horizon</w:t>
            </w:r>
          </w:p>
        </w:tc>
        <w:tc>
          <w:tcPr>
            <w:tcW w:type="dxa" w:w="1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Thesis Invalidation</w:t>
            </w:r>
          </w:p>
        </w:tc>
      </w:tr>
      <w:t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BKNG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B-MK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Stalwart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82 (V 75 / Q 97 / G 69)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Undervalued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$120.37 / $172.62 / $221.42 (€106.10 / €152.17 / €195.18), WACC 9.4%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BASE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QUALITY (7/8)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HEADWIND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3–5yr</w:t>
            </w:r>
          </w:p>
        </w:tc>
        <w:tc>
          <w:tcPr>
            <w:tcW w:type="dxa" w:w="1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Room-night growth &lt; 3% for 2 quarters, OR marketing efficiency deteriorates (ad spend growth &gt; revenue growth)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F-Score detail (Track B: Value 20% / Quality 40% / Growth 40%): Value 75, Quality 97, Growth 69 → 82 (Undervalued).</w:t>
      </w:r>
    </w:p>
    <w:p>
      <w:pPr>
        <w:spacing w:after="100"/>
      </w:pPr>
      <w:r>
        <w:t xml:space="preserve">What has to be true: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Room nights keep growing ~4–6% and take rate holds: the price needs ~7% revenue growth for five years.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Google and AI agents remain traffic partners rather than disintermediators.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Marketing efficiency holds (direct/app share rising).</w:t>
      </w:r>
    </w:p>
    <w:p>
      <w:pPr>
        <w:spacing w:after="100"/>
      </w:pPr>
      <w:r>
        <w:t xml:space="preserve">Single biggest risk: AI agents (Google, OpenAI) intermediating travel search and taking the demand side.</w:t>
      </w:r>
    </w:p>
    <w:p>
      <w:pPr>
        <w:spacing w:after="100"/>
      </w:pPr>
      <w:r>
        <w:t xml:space="preserve">What would most change the verdict: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Room-night growth below 3% for two quarters, or rising marketing intensity, would push value toward Bear ($120.37 / €106).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Evidence that AI agents send Booking incremental demand would move the case toward Bull ($221.42).</w:t>
      </w:r>
    </w:p>
    <w:p>
      <w:pPr>
        <w:spacing w:after="100"/>
      </w:pPr>
      <w:r>
        <w:t xml:space="preserve">Sources (Recent Context): Booking Q2 2026 8-K Ex. 99.1 (sec.gov); Investing.com Q2 2026 slides and call transcript; Yahoo Finance Q2 2026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  <w:lvl w:ilvl="1" w15:tentative="1">
      <w:start w:val="1"/>
      <w:numFmt w:val="bullet"/>
      <w:lvlText w:val="–"/>
      <w:lvlJc w:val="left"/>
      <w:pPr>
        <w:ind w:left="7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2026-10-03T12:02:54.341Z</dcterms:created>
  <dcterms:modified xsi:type="dcterms:W3CDTF">2026-10-03T12:02:54.341Z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