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BX — Blackstone Inc. — Long-Term Deep-Dive</w:t>
      </w:r>
    </w:p>
    <w:p>
      <w:pPr>
        <w:spacing w:after="100"/>
      </w:pPr>
      <w:r>
        <w:t xml:space="preserve">Date: 2026-09-30 | Price: $114.00 / €100.49 (close Sept 29, 2026, yfinance; EUR/USD 1.134, GBP/USD 1.323) | Shares ~1,195M | Market cap ~$136.26B | Book equity $8.67B (FY2025), BV/share $7.25 | Next earnings: Q3 2026 in mid-Oct 2026 (date not confirmed)</w:t>
      </w:r>
    </w:p>
    <w:p>
      <w:pPr>
        <w:spacing w:after="100"/>
      </w:pPr>
      <w:r>
        <w:t xml:space="preserve">[FUNDAMENTAL DATA MISSING — BX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(1,195M = market cap ÷ price). yfinance's 'sharesOutstanding' (751M) covers one class only; reports before 2026-10-03 used it and overstated per-share values by 59%.]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(4/6 on the Compounder screen); MoS Gate BASE (price $114.00 / €100.49 vs Bear $71.66 / €63.17 / Base $124.89 / €110.09 / Bull $176.72 / €155.78 at a 11.6%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distributable earnings $2.0B ($1.52/share, +26%), fee-related earnings $1.8B ($1.43/share, +22%); AUM $1.35T (+11%), fee-earning AUM $961.6B (+8%); inflows $68.3B in Q2 and $262.5B over 12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is now the engine: the combined credit platform is ~$550B (+13%) and took ~50% of Q2 inflows.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$114.00 (−35% over 12 months) = 0.91× Base $124.89 (€110.09), valued on consensus forward EPS ($7.48, distributable basis) at an 11.6% cost of equity. The market prices ~17% 5-yr EPS growth vs ~24%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(4/6: dilution ~1.8%/yr from equity compensation and no net buybacks). QUALITY at a BASE gate. Rates at 5%+ are the double-edged sword: good for credit fundraising, bad for real-estate values.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~Jul 23, 2026 (source: Blackstone 8-K / Investing.com slides; Yahoo Finance / GuruFocus call highlights).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Distributable earnings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$2.0B ($1.52/sh)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$1.6B ($1.21/sh)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Fee-related earnings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$1.8B ($1.43/sh)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AUM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$1.35T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$1.21T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Fee-earning AUM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$961.6B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$890B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Inflows (Q2 / LTM)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$68.3B / $262.5B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platform (corporate and real-estate credit) ~$550B, +13%; $33B of Q2 inflows.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call emphasised AI / data-centre infrastructure investing (GuruFocus).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numeric guidance.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12-month share-price decline reflects private-credit concerns, slower realisations and real-estate marks at high rates (specific catalysts not retrieved).</w:t>
      </w:r>
    </w:p>
    <w:p>
      <w:pPr>
        <w:spacing w:after="100"/>
      </w:pPr>
      <w:r>
        <w:t xml:space="preserve">Price: 52-week closing range $102.12–$176.14 (low 2026-03-12, high 2025-09-29). Returns: 1 month -19.9%, 3 months -3.1%, 12 months -35.0%, 12−1 months -18.8%. Below the 200-day average ($129.00). Consensus: 21 analysts, mean target $144.38 (26.6%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(AUM, Q2 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Credit &amp;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credit, asset-based finance, insurance mandates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~$550B credit platform (incl. RE credit)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BREIT, opportunistic and core+ property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~$320B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Equity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Corporate PE, tactical opportunities, secondaries, infrastructure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~$400B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Multi-Asset Investing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Hedge-fund solutions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~$85B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Segment AUM other than credit are estimates; fee-related earnings margin not retrieved.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institutional LPs, insurers, and a growing private-wealth channel (BREIT, BCRED, BXPE).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KKR, Apollo, Brookfield, Ares, Carlyle.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A-AM.</w:t>
      </w:r>
      <w:r>
        <w:t xml:space="preserve"> Alternative asset manager (A-AM). GAAP consolidation distorts book and GAAP EPS, so valuation uses an equity Key-Value-Driver on consensus distributable EPS. Valuation anchor: equity Key-Value-Driver on consensus EPS.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FY2022 $7.13B → FY2025 $12.41B (CAGR 20.3%); diluted EPS FY2022 2.36 → FY2025 3.87 (CAGR 17.9%; reported currency). Consensus next-year revenue growth 23.9%.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25.6× trailing on reported (GAAP) profit, 15.2×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0.94: forward P/E ÷ consensus EPS growth for the current and next fiscal year (16.2%/yr).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 EPS growth ~24% next year; forward P/E 15.2× on distributable EPS; dividend yield ~4.6% (payout of most DE).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$1.39B, OCF $4.06B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$2.78B, OCF $3.48B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$3.02B, OCF $4.66B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Distributable earnings include performance revenues (realisations), the transitory part; fee-related earnings (+22%) are the persistent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FCF/NI 164%; accrual ratio −3.6%.</w:t>
      </w:r>
    </w:p>
    <w:p>
      <w:pPr>
        <w:spacing w:after="100"/>
      </w:pPr>
      <w:r>
        <w:t xml:space="preserve">ROE on book (ex-unusual items where applicable): 19.2% (FY2023) → 36.9% (FY2024) → 35.8% (FY2025); normalised (3-yr + TTM) –. Cost of equity 11.6%.</w:t>
      </w:r>
    </w:p>
    <w:p>
      <w:pPr>
        <w:spacing w:after="100"/>
      </w:pPr>
      <w:r>
        <w:t xml:space="preserve">Dilution: share count 743M → 783M (1.8%/yr). Last-FY buybacks $312M.</w:t>
      </w:r>
    </w:p>
    <w:p>
      <w:pPr>
        <w:pStyle w:val="Heading2"/>
        <w:spacing w:after="120" w:before="240"/>
      </w:pPr>
      <w:r>
        <w:t xml:space="preserve">5. Valuation — Equity Key-Value-Driver (Koller)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1.56,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year-1 earnings = consensus forward EPS $7.48 (adjusted / distributable basis — GAAP consolidation of funds and non-controlling units makes GAAP EPS unrepresentative); growth from consensus 24.4% fading to terminal; retention funds growth at a return on retained earnings (RONIC) per scenario; Key-Value-Driver terminal.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200"/>
        <w:gridCol w:w="1400"/>
        <w:gridCol w:w="1300"/>
        <w:gridCol w:w="1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EPS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growth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RONIC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RONIC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@11.6%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@13.1%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$71.66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€63.17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$58.88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$124.89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€110.09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$101.36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$176.72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€155.78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$142.61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— cost of equity × growth multiplier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growth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0.7×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1.0×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1.3×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$139.63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$174.03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$217.98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$273.74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$118.73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$146.07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$180.89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$224.95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$152.91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$90.32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$131.14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$159.84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11.6% (beta at the 1.4 clip). At 10.6%, Base ≈ $150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multiple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EPS CAGR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0.53×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0.64×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0.86×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1.08×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Distributable EPS compounds ~17% a year for five years (the price's requirement), driven by fee-earning AUM growth and fee-related earnings.</w:t>
      </w:r>
    </w:p>
    <w:p>
      <w:pPr>
        <w:spacing w:after="100"/>
      </w:pPr>
      <w:r>
        <w:t xml:space="preserve">2. Private-credit defaults stay contained in a stagflation-lite environment.</w:t>
      </w:r>
    </w:p>
    <w:p>
      <w:pPr>
        <w:spacing w:after="100"/>
      </w:pPr>
      <w:r>
        <w:t xml:space="preserve">3. Real-estate values stabilise despite a 5.3% US 10Y.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+ scale in alternatives fundraising;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and scale in alternatives fundraising (largest alternative manager; permanent-capital vehicles):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credit and private-wealth channels growing double digits.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dilution ~1.8%/yr (fails the self-funded 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Founder-led; insiders ~1% (partners hold far more through partnership units).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0.91, forward P/E 15.2×.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82/100 (normalised ROE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-18.8%; 3 months -3.1%.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1.56.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164%; last FY 151%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1.8%/yr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$312M; share count 1.8%/yr; price/Base 0.91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4/6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return: most DE paid as dividends (payout-style model), not buybacks.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little; growth is organic.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sheet: net debt ~$10.7B at the parent (investment-grade).</w:t>
      </w:r>
    </w:p>
    <w:p>
      <w:pPr>
        <w:pStyle w:val="Heading2"/>
        <w:spacing w:after="120" w:before="240"/>
      </w:pPr>
      <w:r>
        <w:t xml:space="preserve">10. Sector Appendix — Asset Management — Alternatives (A-AM)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Fee-related earnings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+22%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Fee-earning AUM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Inflows (LTM)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$262.5B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Credit share of inflows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Concentration in private credit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~15× forward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its 5-yr history (not re-verified)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$7.13B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$7.01B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$10.93B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$12.41B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$8.99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$10.68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769M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on class-A book (19% → 37% → 36%) is not the right metric; FRE growth and inflows are. Both are solid.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P/E derating (25.6× trailing) against 20%+ FRE growth is the Mauboussin gap the Base case exploits.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BX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79 (V 73 / Q 82 / G 85)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$71.66 / $124.89 / $176.72 (€63.17 / €110.09 / €155.78), cost of equity 11.6%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Fee-related earnings growth &lt; 5%, OR net inflows &lt; $100bn/yr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73, Quality 82, Growth 85 → 79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Distributable EPS compounds ~17% a year for five years (the price's requirement), driven by fee-earning AUM growth and fee-related earnings.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Private-credit defaults stay contained in a stagflation-lite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Real-estate values stabilise despite a 5.3% US 10Y.</w:t>
      </w:r>
    </w:p>
    <w:p>
      <w:pPr>
        <w:spacing w:after="100"/>
      </w:pPr>
      <w:r>
        <w:t xml:space="preserve">Single biggest risk: Real-estate valuations under 5%+ rates; private-credit credit cycle; retail vehicle redemptions (BREIT/BCRED).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Private-credit non-accruals rising above ~3%, or inflows below $150B/yr, would push value toward Bear ($71.66 / €63).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Sustained $250B+/yr inflows with FRE +20% would support Bull ($176.72).</w:t>
      </w:r>
    </w:p>
    <w:p>
      <w:pPr>
        <w:spacing w:after="100"/>
      </w:pPr>
      <w:r>
        <w:t xml:space="preserve">Sources (Recent Context): Blackstone Q2 2026 8-K / Investing.com slides; GuruFocus / Yahoo Finance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2026-10-03T12:02:54.463Z</dcterms:created>
  <dcterms:modified xsi:type="dcterms:W3CDTF">2026-10-03T12:02:54.463Z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