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CB — Chubb Limited — Long-Term Deep-Dive</w:t>
      </w:r>
    </w:p>
    <w:p>
      <w:pPr>
        <w:spacing w:after="100"/>
      </w:pPr>
      <w:r>
        <w:t xml:space="preserve">Date: 2026-09-30 | Price: $332.08 / €292.73 (close Sept 29, 2026, yfinance; EUR/USD 1.134, GBP/USD 1.323) | Shares ~386M | Market cap ~$128.12B | Book equity $73.76B (FY2025), BV/share $191.18 | Next earnings: Q3 2026 in late Oct 2026 (date not confirmed)</w:t>
      </w:r>
    </w:p>
    <w:p>
      <w:pPr>
        <w:spacing w:after="100"/>
      </w:pPr>
      <w:r>
        <w:t xml:space="preserve">[FUNDAMENTAL DATA MISSING — CB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(6/7 on the Compounder screen); MoS Gate BASE (price $332.08 / €292.73 vs Bear $225.46 / €198.74 / Base $372.77 / €328.60 / Bull $502.57 / €443.02 at a 8.4%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core operating EPS $7.26 (+18.2%), core operating income $2.84B (+14.6%), P&amp;C combined ratio 83.8% (ex-cat current accident year 82.2%), ~9pts better than the 92.9% US industry average.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 is slowing: P&amp;C net premiums written $12.77B, +3.0% (+6.3% excluding large accounts and E&amp;S property, where Chubb is pulling back on price adequacy).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$332.08 = 0.89× Base $372.77 (€328.60); the market prices ~13.9% sustained ROE vs 15.5% normalised. Modest margin of safety.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6/7 (ROE trend fails: 16.4% → 15.0% → 15.0%) → QUALITY. The 9.5% 'insider' holding in yfinance largely reflects Berkshire Hathaway's disclosed stake, not management.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late Jul 2026 (source: Chubb press release / 8-K; Insurance Business; Agency Checklists).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operating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$6.14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+18.2%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operating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$2.84B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$2.48B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+14.6%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income per share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$7.30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profit −3.8% YoY (Agency Checklists)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P&amp;C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improved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P&amp;C underwriting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$1.94B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$1.63B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+18.8%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P&amp;C net premiums written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$12.77B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$12.40B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+3.0% (+6.3% adj.)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Life insurance (Asia) premiums +7.5%.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Consolidated net premiums written $14.7B (+3.6%).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numeric guidance; commentary stresses underwriting discipline over growth in large-account and E&amp;S property.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Berkshire Hathaway remains a large shareholder (disclosed 2024–25; current size not re-verified).</w:t>
      </w:r>
    </w:p>
    <w:p>
      <w:pPr>
        <w:spacing w:after="100"/>
      </w:pPr>
      <w:r>
        <w:t xml:space="preserve">Price: 52-week closing range $268.20–$363.50 (low 2025-10-20, high 2026-07-28). Returns: 1 month -2.3%, 3 months -2.5%, 12 months 18.3%, 12−1 months 21.1%. Above the 200-day average ($329.64). Consensus: 23 analysts, mean target $365.91 (10.2%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 America Commercial P&amp;C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Large/middle-market commercial, E&amp;S (Westchester), agriculture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 America Personal P&amp;C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High-net-worth homeowners and auto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~12%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Overseas General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International commercial and consumer P&amp;C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Life 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Asia life (incl. Huatai stake), Combined Insurance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~13%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Reinsurance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Property/casualty reinsurance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Shares are indicative estimates.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Global, in 54 countries; roughly 60% North America.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AIG, Travelers, Zurich, Allianz, Tokio Marine.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Global P&amp;C insurer (A-IN): excess-return model.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FY2022 $43.05B → FY2025 $59.78B (CAGR 11.6%); diluted EPS FY2022 12.55 → FY2025 25.678705 (CAGR 27.0%; reported currency). Consensus next-year revenue growth 3.9%.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11.8× trailing on reported (GAAP) profit, 11.4×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1.36: forward P/E ÷ consensus EPS growth for the current and next fiscal year (8.4%/yr).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11.8× trailing / 11.4× forward; revenue CAGR 11.6% (FY22–25) includes the Cigna Asia acquisition.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Normalised ROE 15.5%; flat-to-down trend (16.4% → 15.0% → 15.0%).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Transitory: catastrophe losses and investment gains; the ex-cat current accident year combined ratio (82.2%) is the persistent measure.</w:t>
      </w:r>
    </w:p>
    <w:p>
      <w:pPr>
        <w:spacing w:after="100"/>
      </w:pPr>
      <w:r>
        <w:t xml:space="preserve">ROE on book (ex-unusual items where applicable): 16.5% (FY2023) → 15.1% (FY2024) → 15.1% (FY2025); normalised (3-yr + TTM) 15.5%. Cost of equity 8.4%.</w:t>
      </w:r>
    </w:p>
    <w:p>
      <w:pPr>
        <w:spacing w:after="100"/>
      </w:pPr>
      <w:r>
        <w:t xml:space="preserve">Dilution: share count 415M → 391M (-1.9%/yr). Last-FY buybacks $3.69B.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0.38,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3.0%). Book value/share $191.18 (P/B 1.74×, P/TBV 2.89×); normalised ROE 15.5% (ROE on book (ex-unusual items)); book growth from retention 8.0%/yr (payout ≈ 14%).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$225.46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€198.74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$211.68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$372.77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€328.60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$325.27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$502.57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€443.02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$424.17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15.5%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$273.53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$379.18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$484.83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$696.13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$261.96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$340.01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$418.06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$574.16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$251.11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$311.94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$372.77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$494.44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$240.93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$290.06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$339.19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$437.45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8.4% (beta floor).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8.4% cost of equity the price needs ~13.9% ROE vs 15.5% normalised: the market is pricing </w:t>
      </w:r>
      <w:r>
        <w:rPr>
          <w:b/>
          <w:bCs/>
        </w:rPr>
        <w:t xml:space="preserve">lower</w:t>
      </w:r>
      <w:r>
        <w:t xml:space="preserve"> returns than the business has earned — positive asymmetry if returns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ROE of ~14%+ is sustained as P&amp;C pricing softens (the price needs 13.9%).</w:t>
      </w:r>
    </w:p>
    <w:p>
      <w:pPr>
        <w:spacing w:after="100"/>
      </w:pPr>
      <w:r>
        <w:t xml:space="preserve">2. Chubb keeps its ~9pt combined-ratio advantage over the industry.</w:t>
      </w:r>
    </w:p>
    <w:p>
      <w:pPr>
        <w:spacing w:after="100"/>
      </w:pPr>
      <w:r>
        <w:t xml:space="preserve">3. Asia life growth offsets P&amp;C deceleration.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Underwriting scale + global specialty distribution;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Underwriting scale, global specialty distribution and data: 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combined ratio 83.8%, well ahead of peers.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#11 Competitive edge: specialty and global reach.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−1.9%/yr.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Long-tenured CEO (Evan Greenberg); no disclosure issues retrieved.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9.5%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0.89, forward P/E 11.4×.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79/100 (normalised ROE 15.5%).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21.1%; 3 months -2.5%.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0.38.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16% / 15% / 15%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declined 2 consecutive years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-1.9%/yr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9.5%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$3.69B; share count -1.9%/yr; price/Base 0.89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7.4%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6/7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Acquisitions: Cigna Asia (2022) and Huatai build-out, priced reasonably; goodwill 7.4% of assets.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steady, below Base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disciplined growth.</w:t>
      </w:r>
    </w:p>
    <w:p>
      <w:pPr>
        <w:pStyle w:val="Heading2"/>
        <w:spacing w:after="120" w:before="240"/>
      </w:pPr>
      <w:r>
        <w:t xml:space="preserve">10. Sector Appendix — Insurance — P&amp;C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P&amp;C combined ratio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83.8% (industry 92.9%)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NPW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+3.0% (+6.3% adj.)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Slowing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Normalised 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Adequate (&gt; 15%)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1.74×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the ~1.95× implied by Base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$43.05B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$56.01B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$59.78B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$59.78B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$121.85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$146.83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$159.77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$188.59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$188.59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$2.89B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$2.41B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$3.69B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$3.69B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21.80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22.51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25.68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25.68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has plateaued at ~15% while the combined ratio stays excellent: growth now comes from Asia life and buybacks rather than P&amp;C pricing.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P/B 1.7× for a best-in-class underwriter is a fair-to-modest discount, consistent with a BASE gate.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CB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74 (V 80 / Q 79 / G 53)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$225.46 / $372.77 / $502.57 (€198.74 / €328.60 / €443.02), cost of equity 8.4%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 combined ratio &gt; 90% for 2 years, OR core operating ROE &lt; 12%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80, Quality 79, Growth 53 → 74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of ~14%+ is sustained as P&amp;C pricing softens (the price needs 13.9%).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Chubb keeps its ~9pt combined-ratio advantage over the industry.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Asia life growth offsets P&amp;C deceleration.</w:t>
      </w:r>
    </w:p>
    <w:p>
      <w:pPr>
        <w:spacing w:after="100"/>
      </w:pPr>
      <w:r>
        <w:t xml:space="preserve">Single biggest risk: Softening commercial P&amp;C pricing; catastrophe losses.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NPW turning negative, or combined ratio above 90% outside a major-cat year, would move value toward Bear ($225 / €199).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back at 16–17% would support Bull ($502.57).</w:t>
      </w:r>
    </w:p>
    <w:p>
      <w:pPr>
        <w:spacing w:after="100"/>
      </w:pPr>
      <w:r>
        <w:t xml:space="preserve">Sources (Recent Context): Chubb Q2 2026 press release (prnewswire); Insurance Business Magazine; Agency Checklists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2026-10-03T12:02:54.604Z</dcterms:created>
  <dcterms:modified xsi:type="dcterms:W3CDTF">2026-10-03T12:02:54.604Z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