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FICO — Fair Isaac Corporation — Long-Term Deep-Dive</w:t>
      </w:r>
    </w:p>
    <w:p>
      <w:pPr>
        <w:spacing w:after="100"/>
      </w:pPr>
      <w:r>
        <w:t xml:space="preserve">Date: 2026-09-30 | Price: $617.87 / €544.65 (close Sept 29, 2026, yfinance; EUR/USD 1.134, GBP/USD 1.323) | Shares ~22M | Market cap ~$13.34B | Cash + ST inv. $134M / total debt $3.07B (FY2025 (09/25)) → net debt ~$2.94B | Next earnings: Q4 FY26 in early Nov 2026 (date not confirmed)</w:t>
      </w:r>
    </w:p>
    <w:p>
      <w:pPr>
        <w:spacing w:after="100"/>
      </w:pPr>
      <w:r>
        <w:t xml:space="preserve">[FUNDAMENTAL DATA MISSING — FICO is not in ./data/fundamental_data.json. Figures come from yfinance statements (FY2022 (09/22)–FY2025 (09/25)),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(8/9 on the Compounder screen); MoS Gate BASE (price $617.87 / €544.65 vs Bear $468.20 / €412.72 / Base $716.11 / €631.25 / Bull $980.03 / €863.90 at a 10.1%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Fundamentals and price have diverged: Q3 FY26 revenue $674M (+26%), Scores +41% (B2B +49%), non-GAAP EPS $12.18 (+42%); FY26 guide raised to ~$2.53B revenue and $979M non-GAAP net income (+33%). Yet the stock is −59% over 12 months at $617.87.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market is pricing a durability problem in mortgage scores (pricing scrutiny, VantageScore competition), not current earnings: the price needs only ~9% 5-yr revenue growth vs a ~13% consensus-led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COMPOUNDER-grade (8/9; fails only goodwill &gt; 40% of assets, a legacy of negative equity from buybacks rather than M&amp;A). Price below Base $716.11 (€631.25) but above Bear $468.20 →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buybacks ($1.96B in Q3 alone, including a $1.5B ASR) at prices below Base value: textbook Thorndike discipline if the franchise holds.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Q3 FY26 (quarter ended Jun 30, 2026), reported Jul 29, 2026 (source: FICO 8-K Ex. 99.1;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$674M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$536M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Scores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$458.9M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$325M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+41% (B2B +49%, B2C +5%)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Software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$215.3M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+2% (SaaS +21%, on-prem −16%)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GAAP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Non-GAAP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$8.57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$370.3M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$276.2M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growth is price-led in mortgage originations (B2B +49%); the consumer (B2C) line grew only 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is flat: the SaaS platform (+21%) is offsetting on-prem and services declines.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(Sept year-end) raised: revenue ~$2.53B, GAAP net income ~$850M (+30%), non-GAAP net income ~$979M (+33%).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FY26: record buybacks of $1.96B in the quarter ($3.05B year-to-date), including a $1.5B accelerated share repurchase.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backdrop: FHFA's July 2025 decision to let lenders use VantageScore 4.0 for GSE mortgages, plus political scrutiny of score pricing, drove the de-rating. Specific 2026 catalysts for the latest leg down were not retrieved.</w:t>
      </w:r>
    </w:p>
    <w:p>
      <w:pPr>
        <w:spacing w:after="100"/>
      </w:pPr>
      <w:r>
        <w:t xml:space="preserve">Price: 52-week closing range $617.87–$1,880 (low 2026-09-29, high 2025-10-07). Returns: 1 month -46.4%, 3 months -48.3%, 12 months -59.3%, 12−1 months -24.0%. Below the 200-day average ($1,236). Consensus: 19 analysts, mean target $1,341 (117.1%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(Q3 FY26):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Scores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FICO Score licensing to lenders (B2B, mainly via the three bureaus) and consumers (myFICO, B2C)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$458.9M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Software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FICO Platform (decisioning, fraud, analytics), on-prem and SaaS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$215.3M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Scores carries the bulk of operating profit (segment margins not retrieved this pass; group TTM operating margin 52%).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Mainly the US (Scores); Software is global (banks, card issuers).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mortgage, card, auto and personal lenders (through Equifax, Experian and TransUnion), plus consumers.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VantageScore (owned by the three bureaus), bureau-native scores, in-house/AI underwriting models; SAS and Experian in decisioning software.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retrieved;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Mission-critical software / data licensing with 80%+ gross margins and 2% capex: Track B-TK. The Scores franchise is closer to a regulatory toll road than to SaaS.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(09/22) $1.38B → FY2025 (09/25) $1.99B (CAGR 13.1%); diluted EPS FY2022 (09/22) 14.18 → FY2025 (09/25) 26.54 (CAGR 23.2%; reported currency). Consensus next-year revenue growth 13.4%.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17.9× trailing on reported (GAAP) profit, 11.7× forward on consensus estimates (yfinance); </w:t>
      </w:r>
      <w:r>
        <w:rPr>
          <w:b/>
          <w:bCs/>
        </w:rPr>
        <w:t xml:space="preserve">13.2×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0.39: forward P/E ÷ consensus EPS growth for the current and next fiscal year (33.1%/yr,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13.1% (FY22–25), EPS growth faster through buybacks; forward P/E 11.7× → PEG &lt; 1.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 (09/23)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$429M, OCF $469M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(09/24)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$513M, OCF $633M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(09/25)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$652M, OCF $779M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−7.1%: cash-backed.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book equity (from buybacks) makes ROE and P/B meaningless; ROIC ex-goodwill &gt; 200%.</w:t>
      </w:r>
    </w:p>
    <w:p>
      <w:pPr>
        <w:spacing w:after="100"/>
      </w:pPr>
      <w:r>
        <w:t xml:space="preserve">ROIC (NOPLAT ÷ avg invested capital, equity + debt − cash): 48.4% (FY2023 (09/23)) → 53.4% (FY2024 (09/24)) → 65.7% (FY2025 (09/25)). ROIC ex-goodwill (latest): &gt; 40%. WACC 10.1%.</w:t>
      </w:r>
    </w:p>
    <w:p>
      <w:pPr>
        <w:spacing w:after="100"/>
      </w:pPr>
      <w:r>
        <w:t xml:space="preserve">Margin trend (FY2022 (09/22)–FY2025 (09/25)): gross 78.1% → 79.4% → 79.7% → 82.2%; operating 39.4% → 42.3% → 42.7% → 47.0%; TTM operating 52.1%.</w:t>
      </w:r>
    </w:p>
    <w:p>
      <w:pPr>
        <w:spacing w:after="100"/>
      </w:pPr>
      <w:r>
        <w:t xml:space="preserve">Dilution: share count 25M → 24M (-1.9%/yr). Last-FY buybacks $1.41B.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1.32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1.32,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$2.39B; year-1 growth 13.4% (consensus next-year revenue growth), fading linearly to terminal g + 1pp; operating margin 52.1% (TTM op. margin); tax 18.8%; reinvestment = growth ÷ RONIC (Base RONIC 40.0%); Key-Value-Driver terminal value, g 3.0%. Net debt $2.94B.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@10.1%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@11.6%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49.1% (39.9%)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9.1%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$4.31B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$1.72B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$468.20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€412.72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$364.78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52.1% (42.3%)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$5.48B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$2.32B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$716.11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€631.25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$557.10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54.1% (43.9%)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$6.93B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$3.04B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$980.03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€863.90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$762.37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49% / 55% / 59%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~9.2×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(17.1×) persisted to year 10, Base would be $1,119 / €986.32 (+56%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$961.03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$1,013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$1,235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$793.67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$827.44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$865.72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$960.98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$667.99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$690.84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$716.11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$776.19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$570.29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$586.24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$603.53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$643.15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10.1%,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$542.48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$563.21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$583.94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$611.58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$667.04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$691.58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$716.11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$748.82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$816.38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$845.48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$874.57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$913.37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$995.11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$1,110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~$2.9B (buyback-funded). Leverage is a choice, not a strain, at FCF of ~$1.4B/yr [annualised Q3].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(52.1%), RONIC and terminal assumptions, and solve for the growth path that makes value = $617.87.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$2.95B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$3.18B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$3.65B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$4.16B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11.3%.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8.8% vs 11.3%: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Mortgage-score pricing survives the regulatory push; lenders keep FICO as the default score even where VantageScore is permitted.</w:t>
      </w:r>
    </w:p>
    <w:p>
      <w:pPr>
        <w:spacing w:after="100"/>
      </w:pPr>
      <w:r>
        <w:t xml:space="preserve">2. Revenue grows ~9% a year for five years (the price's requirement), vs 26% in the latest quarter.</w:t>
      </w:r>
    </w:p>
    <w:p>
      <w:pPr>
        <w:spacing w:after="100"/>
      </w:pPr>
      <w:r>
        <w:t xml:space="preserve">3. Software stabilises as SaaS replaces on-prem.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Intangibles/regulatory entrenchment (FICO Score in US mortgage and lending);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 / regulatory entrenchment: the FICO Score is embedded in lender models, securitisation standards and investor expectations. Wide, but it is exactly this entrenchment that regulators are targeting.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39.4% (FY22) → 47.0% (FY25) → 52% TTM.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strong but politically exposed; VantageScore acceptance is the key threat.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−1.9%/yr.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Pricing conduct is under public scrutiny; no disclosure issues retrieved.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3.0%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0.86, forward P/E 11.7×.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100/100 (ROIC ex-GW 203.6%, op. margin 52.1%, FCF/NI 113.6%).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-24.0%; 3 months -48.3%.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1.32.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48% / 53% / 66%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114%; last FY 113%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-1.9%/yr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$1.41B; share count -1.9%/yr; price/Base 0.86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41.9%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minimal capex; ROIC ex-goodwill &gt; 200%.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aggressive and now below Base value (Q3 $1.96B).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none material; goodwill share of assets is high only because buybacks shrank the asset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~$2.9B net debt used to fund buybacks.</w:t>
      </w:r>
    </w:p>
    <w:p>
      <w:pPr>
        <w:pStyle w:val="Heading2"/>
        <w:spacing w:after="120" w:before="240"/>
      </w:pPr>
      <w:r>
        <w:t xml:space="preserve">10. Sector Appendix — Software &amp; Data Licensing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+26% (Q3 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(price-led)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Scores B2B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+49%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Pricing power still intact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SaaS growth (Software)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82.2% (FY25)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(&gt; 75%)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~26 + ~55 FCF margin ≈ 80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Exceptional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Regulatory status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VantageScore 4.0 allowed for GSE mortgages (2025)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Key risk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 (09/22)–FY2025 (09/25))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 (09/22)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(09/23)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(09/24)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(09/25)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−$1.77B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−$2.08B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−$2.94B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−$2.94B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 (09/22)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(09/23)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(09/24)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(09/25)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rose ~13pp in three years while revenue grew 13% a year: pricing power, the hard number behind Fisher #5.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has roughly halved to ~18× trailing / 11.7× forward while EPS keeps rising ~40%: the de-rating is regulatory, not operational.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−1.9%/yr and FCF/NI 114% support the 8/9 Compounder score.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FICO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 (V 82 / Q 100 / G 70)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$468.20 / $716.11 / $980.03 (€412.72 / €631.25 / €863.90), WACC 10.1%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Mortgage originators allowed/required to drop FICO scores, OR Scores revenue down YoY for 2 quarters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82, Quality 100, Growth 70 → 84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Mortgage-score pricing survives the regulatory push; lenders keep FICO as the default score even where VantageScore is permitted.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~9% a year for five years (the price's requirement), vs 26% in the latest quarter.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stabilises as SaaS replaces on-prem.</w:t>
      </w:r>
    </w:p>
    <w:p>
      <w:pPr>
        <w:spacing w:after="100"/>
      </w:pPr>
      <w:r>
        <w:t xml:space="preserve">Single biggest risk: Regulatory action on score pricing (FHFA, credit bureaus' VantageScore push); the price has fallen ~60%.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regulatory move that caps mortgage-score pricing, or lenders switching volumes to VantageScore, would move value toward Bear ($468 / €413).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Scores B2B growth stays above 20% for another year with no regulatory action, the market's ~9% growth assumption would look far too low.</w:t>
      </w:r>
    </w:p>
    <w:p>
      <w:pPr>
        <w:spacing w:after="100"/>
      </w:pPr>
      <w:r>
        <w:t xml:space="preserve">Sources (Recent Context): FICO Q3 FY26 8-K Ex. 99.1 (sec.gov); Yahoo Finance, Fair Isaac Q3 earnings beat; Yahoo Finance Q3 2026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2026-10-03T12:02:54.964Z</dcterms:created>
  <dcterms:modified xsi:type="dcterms:W3CDTF">2026-10-03T12:02:54.964Z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