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G24.DE — Scout24 SE — Long-Term Deep-Dive</w:t>
      </w:r>
    </w:p>
    <w:p>
      <w:pPr>
        <w:spacing w:after="100"/>
      </w:pPr>
      <w:r>
        <w:t xml:space="preserve">Date: 2026-09-30 | Price: €67.10 (close Sept 29, 2026, yfinance; EUR/USD 1.134, GBP/USD 1.323) | Shares ~70M | Market cap ~€4.67B | Cash + ST inv. €51M / total debt €149M (FY2025) → net debt ~€98M | Next earnings: Q3 2026 in early Nov 2026 (date not confirmed)</w:t>
      </w:r>
    </w:p>
    <w:p>
      <w:pPr>
        <w:spacing w:after="100"/>
      </w:pPr>
      <w:r>
        <w:t xml:space="preserve">[FUNDAMENTAL DATA MISSING — G24.DE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(macro_report_2026-09-29). ECB hiked Sept 10 (depo 2.50%); EZ CPI 3.3%.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pierced 100bp intraday (BTP 10Y ~4.60%, &gt;3-year high); OAT-Bund 119bp; CAC 40 is the only major index below its MA200.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EUR/USD 1.134 (−2.4% over 20 days). US 10Y 5.27% anchors global discount rates.</w:t>
      </w:r>
    </w:p>
    <w:p>
      <w:pPr>
        <w:spacing w:after="100"/>
      </w:pPr>
      <w:r>
        <w:rPr>
          <w:b/>
          <w:bCs/>
        </w:rPr>
        <w:t xml:space="preserve">Bottom line up front: QUALITY. Business COMPOUNDER (7/9 on the Compounder screen); MoS Gate BASE (price €67.10 vs Bear €62.33 / Base €100.53 / Bull €130.36 at a 7.0%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2026: revenue €372.2m (+17%), ordinary operating EBITDA +14.6%, margin 60.1% (organic 64.2% in Q2). FY26 guidance confirmed: revenue +16–18% (6–7pp from the Spanish acquisition), ooEBITDA margin up to 61% (organic up to 64%).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Shares fell after Q2 despite strong growth (Investing.com); earlier in 2026 they fell on the margin dilution from the Spain deal.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€67.10 = 0.67× Base €100.53 at a 7.0% WACC (floor; German rf ~3.6%). The market prices only ~2.5% 5-yr revenue growth vs ~11% consensus: strong positive asymmetry, if the German franchise 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7/9 (fails 5-yr ROIC &gt; 15% and goodwill &gt; 40% of assets: both legacy of the 2014 LBO). QUALITY at a BASE gate (the Bear case, €62.33, is close).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Aug 2026 (source: Scout24 IR; Investing.com transcript; Quartr summary).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€372.2m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€318m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+17%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ooEBITDA growth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+14.6%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ooEBITDA margin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60.1%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Spain dilution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Organic ooEBITDA margin (Q2)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64.2%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Management expects margin improvement in H2 as Spanish transition costs fall and German efficiency gains continue.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revenue growth 16–18% (6–7pp from Spain); ooEBITDA margin up to 61% (organic up to 64%).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buyback volume upsized for 2026 (Q1 release).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shares fell after the results despite strong growth (Investing.com).</w:t>
      </w:r>
    </w:p>
    <w:p>
      <w:pPr>
        <w:spacing w:after="100"/>
      </w:pPr>
      <w:r>
        <w:t xml:space="preserve">Price: 52-week closing range €63.25–€106.60 (low 2026-03-24, high 2025-09-30). Returns: 1 month -15.9%, 3 months -9.9%, 12 months -37.1%, 12−1 months -25.1%. Below the 200-day average (€74.39). Consensus: 19 analysts, mean target €106.12 (58.2%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Professional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Listings and subscription products for estate agents / property professionals (ImmoScout24)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~65%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Consumer-paid listings, Plus memberships, leads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Spain (acquired 2025–26)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Spanish property portal operations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lower margin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Segment split indicative.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Germany (dominant, ImmoScout24), Austria, and now Spain.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Immowelt (Aviv/Axel Springer), Kleinanzeigen, idealista (Spain).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B-MK.</w:t>
      </w:r>
      <w:r>
        <w:t xml:space="preserve"> Online property marketplace with network effects (B-MK):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FY2022 €448M → FY2025 €650M (CAGR 13.2%); diluted EPS FY2022 1.59 → FY2025 3.33 (CAGR 27.9%; reported currency). Consensus next-year revenue growth 11.2%.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16.9× trailing on reported (GAAP) profit, 13.9× forward on consensus estimates (yfinance); </w:t>
      </w:r>
      <w:r>
        <w:rPr>
          <w:b/>
          <w:bCs/>
        </w:rPr>
        <w:t xml:space="preserve">18.7× on recurring operating profit after tax</w:t>
      </w:r>
      <w:r>
        <w:t xml:space="preserve"> (FY2025),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0.78: forward P/E ÷ consensus EPS growth for the current and next fiscal year (17.9%/yr).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16.9× trailing / 13.9× forward; dividend yield ~2.3%.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-1.1%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€179M, OCF €201M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-4.6%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€162M, OCF €257M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-2.2%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€240M, OCF €285M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−2.2%; FCF/NI 116%.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(IFRS) ~45% steady; ooEBITDA ~60%.</w:t>
      </w:r>
    </w:p>
    <w:p>
      <w:pPr>
        <w:spacing w:after="100"/>
      </w:pPr>
      <w:r>
        <w:t xml:space="preserve">ROIC (NOPLAT ÷ avg invested capital, equity + debt − cash): 11.7% (FY2023) → 11.4% (FY2024) → 15.9% (FY2025). ROIC ex-goodwill (latest): 38.6%. WACC 7.0%.</w:t>
      </w:r>
    </w:p>
    <w:p>
      <w:pPr>
        <w:spacing w:after="100"/>
      </w:pPr>
      <w:r>
        <w:t xml:space="preserve">Margin trend (FY2022–FY2025): gross 101.5% → 100.3% → 100.2% → 99.5%; operating 44.1% → 47.6% → 44.9% → 44.9%; TTM operating –.</w:t>
      </w:r>
    </w:p>
    <w:p>
      <w:pPr>
        <w:spacing w:after="100"/>
      </w:pPr>
      <w:r>
        <w:t xml:space="preserve">Dilution: share count 74M → 71M (-1.0%/yr). Last-FY buybacks €126M.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Bund ≈ BTP − 100bp [EST]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0.59,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7.02%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FY2025 revenue €650M; year-1 growth 11.2% (consensus next-year revenue growth), fading linearly to terminal g + 1pp; operating margin 44.9% (FY2025 op. margin); tax 14.5%; reinvestment = growth ÷ RONIC (Base RONIC 38.6%); Key-Value-Driver terminal value, g 2.5%. Net debt €98M.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@7.0%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@8.5%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41.9% (35.8%)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29.0% / 6.0%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€1.07B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€384M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€62.33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€62.33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€47.51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3.5%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44.9% (38.4%)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38.6%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€1.31B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€505M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€100.53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€100.53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€73.94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4.6%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46.9% (40.1%)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48.3%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€1.61B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€645M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€130.36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€130.36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€94.98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58% / 68% / 71%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~13.8×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(14.0×) persisted to year 10, Base would be €101.31 (+1%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€144.78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€161.89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€185.58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€278.62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€110.70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€119.63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€130.93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€166.38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€89.05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€94.27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€100.53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€117.97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€74.11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€77.39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€81.19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€91.00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7.0%,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€79.41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€82.31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€85.20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€89.06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€93.72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€97.13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€100.53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€105.07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€110.60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€114.60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€118.61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€123.96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€130.45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€135.17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€139.89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€146.18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floored at 7.0% (the German rf of ~3.6% gives a low cost of capital). At 9%, Base falls to roughly the price (see the grid).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(44.9%), RONIC and terminal assumptions, and solve for the growth path that makes value = €67.10.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-0.35×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€548M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-0.14×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€608M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€736M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0.64×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€871M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9.5%.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2.5% vs 9.5%: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grows ~2.5%+ a year (the price's requirement), far below the 16–18% 2026 guide.</w:t>
      </w:r>
    </w:p>
    <w:p>
      <w:pPr>
        <w:spacing w:after="100"/>
      </w:pPr>
      <w:r>
        <w:t xml:space="preserve">2. Agent pricing power in Germany holds.</w:t>
      </w:r>
    </w:p>
    <w:p>
      <w:pPr>
        <w:spacing w:after="100"/>
      </w:pPr>
      <w:r>
        <w:t xml:space="preserve">3. The Spanish acquisition reaches group-level margins.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effects (Germany's leading property-classifieds portal);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effects (Germany's dominant property-listings portal): wide; CAP 10–15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organic ooEBITDA margin 64%, among the highest in classifieds.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−1.0%/yr.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4.5%.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4.5%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0.67, forward P/E 13.9×.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80/100 (ROIC ex-GW 38.6%, op. margin –, FCF/NI 115.8%).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-25.1%; 3 months -9.9%.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0.59.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quality,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12% / 11% / 16%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44.9%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116%; last FY 110%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-1.0%/yr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€126M; share count -1.0%/yr; price/Base 0.67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45.0%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7/9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upsized in 2026, at 0.67× Base (value-accretive).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Spain adds growth at lower margins.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modest.</w:t>
      </w:r>
    </w:p>
    <w:p>
      <w:pPr>
        <w:pStyle w:val="Heading2"/>
        <w:spacing w:after="120" w:before="240"/>
      </w:pPr>
      <w:r>
        <w:t xml:space="preserve">10. Sector Appendix — Marketplaces &amp; Platforms (B-MK)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+17% (H1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ooEBITDA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60.1% (organic 64.2%)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conversion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116%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ex-goodwill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38.6%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Legacy (LBO)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€448M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€509M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€566M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€650M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€650M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99.5%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99.5%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−€121M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−€127M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−€123M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−€98M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−€98M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40.6%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45.0%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 accelerated (acquisition-aided) while margins stayed ~60%: the franchise is intact.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~14× forward for double-digit growth and a network-effect moat is the widest valuation gap among the marketplaces here.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G24.DE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B-MK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77 (V 90 / Q 80 / G 68)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€62.33 / €100.53 / €130.36 (€62.33 / €100.53 / €130.36), WACC 7.0%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(7/9)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Professional-customer ARPU growth &lt; 3%, OR operating EBITDA margin &lt; 55%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90, Quality 80, Growth 68 → 77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grows ~2.5%+ a year (the price's requirement), far below the 16–18% 2026 guide.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pricing power in Germany 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Spanish acquisition reaches group-level margins.</w:t>
      </w:r>
    </w:p>
    <w:p>
      <w:pPr>
        <w:spacing w:after="100"/>
      </w:pPr>
      <w:r>
        <w:t xml:space="preserve">Single biggest risk: Housing-transaction cyclicality and agent pushback on pricing.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Organic growth below 5%, or German agent pushback, would push value toward Bear (€62.33).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Organic margin at 64%+ with 10%+ growth would support Bull (€130.36).</w:t>
      </w:r>
    </w:p>
    <w:p>
      <w:pPr>
        <w:spacing w:after="100"/>
      </w:pPr>
      <w:r>
        <w:t xml:space="preserve">Sources (Recent Context): Scout24 Q1 2026 IR news (scout24.com); Investing.com Q2 2026 transcript; Quartr Q2 2026 summary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2026-10-03T12:02:55.134Z</dcterms:created>
  <dcterms:modified xsi:type="dcterms:W3CDTF">2026-10-03T12:02:55.134Z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