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GDDY — GoDaddy Inc. — Long-Term Deep-Dive</w:t>
      </w:r>
    </w:p>
    <w:p>
      <w:pPr>
        <w:spacing w:after="100"/>
      </w:pPr>
      <w:r>
        <w:t xml:space="preserve">Date: 2026-09-30 | Price: $94.06 / €82.91 (close Sept 29, 2026, yfinance; EUR/USD 1.134, GBP/USD 1.323) | Shares ~127M | Market cap ~$11.91B | Cash + ST inv. $1.08B / total debt $3.86B (FY2025) → net debt ~$2.78B | Next earnings: Q3 2026 in early Nov 2026 (date not confirmed)</w:t>
      </w:r>
    </w:p>
    <w:p>
      <w:pPr>
        <w:spacing w:after="100"/>
      </w:pPr>
      <w:r>
        <w:t xml:space="preserve">[FUNDAMENTAL DATA MISSING — GDDY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(8/9 on the Compounder screen); MoS Gate BASE (price $94.06 / €82.91 vs Bear $82.43 / €72.66 / Base $130.54 / €115.07 / Bull $167.82 / €147.94 at a 8.6%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revenue $1.3bn (+7%), normalised EBITDA $434.1m (+14%, 33.4% margin), free cash flow $443m (+13%). FY26 revenue guide narrowed to $5.215–5.255bn (+6%); EBITDA margin ≥ 33%; FCF ~$1.8bn. The stock fell on weak guidance.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Applications &amp; Commerce (the AI/website-builder segment) grows low double digits; Core Platform (domains) low single digits.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$94.06 (−34% over 12 months) = 0.72× Base $130.54 (€115.07) at an 8.6% WACC. The market prices ~0.5% 5-yr revenue growth vs a ~5% consensus-led path: strong positive asymmetry if growth doesn't stall.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COMPOUNDER by count (8/9; fails goodwill &gt; 40% of assets). Price above Bear ($82.43) → QUALITY. FCF yield ~13% on a ~$13bn market cap.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30, 2026 (source: GoDaddy 8-K Ex. 99.1; Globe and Mail; Benzinga transcript).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$1.22bn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Normalized EBITDA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$434.1m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$381m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Normalized EBITDA margin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33.4%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~31%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expanded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 cash 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$392m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Sales in line with estimates, but weak guidance hit the stock (Globe and Mail).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revenue $5.215–5.255bn (+6% at midpoint); normalised EBITDA margin ≥ 33%; FCF ~$1.8bn.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Q3/FY: Applications &amp; Commerce low double-digit growth; Core Platform low single digits.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AI-native website builders and agentic commerce are the competitive narrative behind the de-rating.</w:t>
      </w:r>
    </w:p>
    <w:p>
      <w:pPr>
        <w:spacing w:after="100"/>
      </w:pPr>
      <w:r>
        <w:t xml:space="preserve">Price: 52-week closing range $74.99–$141.67 (low 2026-06-22, high 2025-09-29). Returns: 1 month -3.7%, 3 months 10.8%, 12 months -33.5%, 12−1 months -30.9%. Above the 200-day average ($93.84). Consensus: 16 analysts, mean target $106.75 (13.5%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Applications &amp; Commerce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Website builder (Airo AI), commerce, payments, email/productivity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~$2.0bn/yr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higher 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Platform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Domains, hosting, security, aftermarket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~$3.2bn/yr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SMB / micro-business; ~20m customers (not re-verified).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Wix, Squarespace, Shopify, Cloudflare/Namecheap (domains), AI site builders.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B-TK.</w:t>
      </w:r>
      <w:r>
        <w:t xml:space="preserve"> SMB software and domains platform (B-TK):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FY2022 $4.09B → FY2025 $4.95B (CAGR 6.6%); diluted EPS FY2022 2.19 → FY2025 6.22 (CAGR 41.6%; reported currency). Consensus next-year revenue growth 5.2%.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14.0× trailing on reported (GAAP) profit, 8.5× forward on consensus estimates (yfinance); </w:t>
      </w:r>
      <w:r>
        <w:rPr>
          <w:b/>
          <w:bCs/>
        </w:rPr>
        <w:t xml:space="preserve">10.8×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0.49: forward P/E ÷ consensus EPS growth for the current and next fiscal year (17.3%/yr).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14.0× trailing / 8.5× forward; buybacks drive EPS growth above revenue growth.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$1.37B, OCF $1.05B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$937M, OCF $1.29B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-8.9%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$875M, OCF $1.60B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−8.9%; FCF/NI 120%.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FY24 net income included a large tax valuation-allowance release (a transitory item); operating margin 12.6% → 23.0% (FY22–25) → 25.2% TTM is the persistent series.</w:t>
      </w:r>
    </w:p>
    <w:p>
      <w:pPr>
        <w:spacing w:after="100"/>
      </w:pPr>
      <w:r>
        <w:t xml:space="preserve">ROIC (NOPLAT ÷ avg invested capital, equity + debt − cash): 15.8% (FY2023) → 21.1% (FY2024) → 30.1% (FY2025). ROIC ex-goodwill (latest): &gt; 40%. WACC 8.6%.</w:t>
      </w:r>
    </w:p>
    <w:p>
      <w:pPr>
        <w:spacing w:after="100"/>
      </w:pPr>
      <w:r>
        <w:t xml:space="preserve">Margin trend (FY2022–FY2025): gross 63.7% → 63.0% → 63.9% → 63.6%; operating 12.6% → 15.0% → 20.4% → 23.0%; TTM operating 25.2%.</w:t>
      </w:r>
    </w:p>
    <w:p>
      <w:pPr>
        <w:spacing w:after="100"/>
      </w:pPr>
      <w:r>
        <w:t xml:space="preserve">Dilution: share count 154M → 135M (-4.3%/yr). Last-FY buybacks $1.60B.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0.94,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$5.10B; year-1 growth 5.2% (consensus next-year revenue growth), fading linearly to terminal g + 1pp; operating margin 25.2% (TTM op. margin); tax 14.2%; reinvestment = growth ÷ RONIC (Base RONIC 40.0%); Key-Value-Driver terminal value, g 3.0%. Net debt $2.78B.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@8.6%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@10.1%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22.2% (19.0%)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7.6%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$7.02B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$1.34B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$82.43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€72.66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$62.79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25.2% (21.6%)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$8.02B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$1.73B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$130.54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€115.07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$98.53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27.2% (23.3%)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$9.14B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$2.13B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$167.82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€147.94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$126.51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49% / 58% / 61%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~11.6×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(11.7×) persisted to year 10, Base would be $131.72 / €116.11 (+1%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$181.25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$195.93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$214.41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$271.53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$144.45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$153.08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$163.39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$191.82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$118.80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$124.26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$130.54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$146.62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$99.91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$103.54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$107.59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$117.45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8.6%,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$100.61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$108.89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$117.17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$128.21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$112.38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$121.46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$130.54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$142.64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$125.45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$135.41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$145.37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$158.64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$139.94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$150.88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$161.81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$176.40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book equity (buybacks) makes ROE and P/B meaningless; ROIC 30% (FY25).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(25.2%), RONIC and terminal assumptions, and solve for the growth path that makes value = $94.06.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-0.67×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$4.31B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-0.41×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$4.61B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$5.22B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$5.93B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5.0%.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0.5% vs 5.0%: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grows at least ~1% a year (the price's requirement) vs 6% today.</w:t>
      </w:r>
    </w:p>
    <w:p>
      <w:pPr>
        <w:spacing w:after="100"/>
      </w:pPr>
      <w:r>
        <w:t xml:space="preserve">2. Applications &amp; Commerce keeps growing double digits as AI tools (Airo) monetise.</w:t>
      </w:r>
    </w:p>
    <w:p>
      <w:pPr>
        <w:spacing w:after="100"/>
      </w:pPr>
      <w:r>
        <w:t xml:space="preserve">3. Domain renewals hold despite AI-native competition.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+ scale in domains/hosting; narrow-to-wide;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and switching costs in domains/hosting (renewal-based, bundle lock-in): narrow-to-wide;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normalised EBITDA margin up to 33.4%; GAAP operating margin up ~12pts in 3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−4.3%/yr.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1.0%.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1.0%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0.72, forward P/E 8.5×.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78/100 (ROIC ex-GW –, op. margin 25.2%, FCF/NI 119.5%).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-30.9%; 3 months 10.8%.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0.94.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quality.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16% / 21% / 30%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119%; last FY 180%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-4.3%/yr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$1.60B; share count -4.3%/yr; price/Base 0.72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45.2%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8/9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aggressive (−4.3%/yr) at 0.72× Base (value-accretive).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goodwill 45% of assets (legacy acquisitions; fails).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~$2.8bn.</w:t>
      </w:r>
    </w:p>
    <w:p>
      <w:pPr>
        <w:pStyle w:val="Heading2"/>
        <w:spacing w:after="120" w:before="240"/>
      </w:pPr>
      <w:r>
        <w:t xml:space="preserve">10. Sector Appendix — Software &amp; SaaS (B-TK)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+7% (Q2 2026); FY +6%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Normalized EBITDA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33.4%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$1.8bn FY guide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 + ~34 ≈ 40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 threshold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yield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~13%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Very high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$4.09B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$4.25B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$4.57B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$4.95B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$4.95B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192.9%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77.7×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63.27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17.96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17.96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−$3.21B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−$3.44B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−$2.81B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−$2.78B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−$2.78B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45.2%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Margins and ROIC rose every year (ROIC 15.8% → 30.1%); the business improved while the stock de-rated.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market is pricing an AI-driven stall, not the reported numbers.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GDDY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B-TK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 (V 93 / Q 78 / G 48)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$82.43 / $130.54 / $167.82 (€72.66 / €115.07 / €147.94), WACC 8.6%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(8/9)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Revenue growth &lt; 4%, OR normalised EBITDA margin &lt; 30%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93, Quality 78, Growth 48 → 69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at least ~1% a year (the price's requirement) vs 6%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Applications &amp; Commerce keeps growing double digits as AI tools (Airo) monetise.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renewals hold despite AI-native competition.</w:t>
      </w:r>
    </w:p>
    <w:p>
      <w:pPr>
        <w:spacing w:after="100"/>
      </w:pPr>
      <w:r>
        <w:t xml:space="preserve">Single biggest risk: AI website builders lower switching costs; growth is ~5–7%.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growth below 3%, or A&amp;C growth below 8%, would push value toward Bear ($82.43 / €73).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Sustained 6%+ growth at 33%+ margins would support Bull ($167.82).</w:t>
      </w:r>
    </w:p>
    <w:p>
      <w:pPr>
        <w:spacing w:after="100"/>
      </w:pPr>
      <w:r>
        <w:t xml:space="preserve">Sources (Recent Context): GoDaddy Q2 2026 8-K Ex. 99.1 (sec.gov); Globe and Mail; Benzinga Q2 transcript; TheDomains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2026-10-03T12:02:55.198Z</dcterms:created>
  <dcterms:modified xsi:type="dcterms:W3CDTF">2026-10-03T12:02:55.198Z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