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GL — Globe Life Inc. — Long-Term Deep-Dive</w:t>
      </w:r>
    </w:p>
    <w:p>
      <w:pPr>
        <w:spacing w:after="100"/>
      </w:pPr>
      <w:r>
        <w:t xml:space="preserve">Date: 2026-09-30 | Price: $166.08 / €146.40 (close Sept 29, 2026, yfinance; EUR/USD 1.134, GBP/USD 1.323) | Shares ~77M | Market cap ~$12.76B | Book equity $5.97B (FY2025), BV/share $77.74 | Next earnings: Q3 2026 in late Oct 2026 (date not confirmed)</w:t>
      </w:r>
    </w:p>
    <w:p>
      <w:pPr>
        <w:spacing w:after="100"/>
      </w:pPr>
      <w:r>
        <w:t xml:space="preserve">[FUNDAMENTAL DATA MISSING — GL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(6/7 on the Compounder screen); MoS Gate BASE (price $166.08 / €146.40 vs Bear $112.94 / €99.55 / Base $216.14 / €190.52 / Bull $290.54 / €256.11 at a 8.4%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life underwriting margin $359M (+6%), 42% of premium (41% a year ago); net income $3.65/share (+20%). Net operating EPS missed consensus and the stock fell 7.7% on the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EPS guidance raised to $15.55–15.95; life underwriting margin guided to 43–45% for the year (Q3 &gt; 50% from assumption updates).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$166.08 = 0.77× Base $216.14 (€190.52) at an 8.4% cost of equity. The market prices ~16.8% sustained ROE vs 21.6% normalised.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6/7 (fails the ROE-trend test: 23.0% → 21.9% → 20.6%), price above Bear ($112.94) → QUALITY. The agency-practice allegations of 2024 remain the governance watch item.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Globe Life press release; Investing.com transcript; Yahoo Finance).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underwriting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$339M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UW margin / premium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+1pp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 per share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$3.65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$3.04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+10%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−7.7% on the Q2 net operating EPS miss (Investing.com).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operating EPS $15.55–15.95 (raised).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Life underwriting margin 43–45% of premium for 2026; Q3 above 50% (assumption updates), Q4 41–42%.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2024 short-seller report and regulatory inquiries into agency practices (American Income Life) remain a background overhang; current status not re-verified this pass.</w:t>
      </w:r>
    </w:p>
    <w:p>
      <w:pPr>
        <w:spacing w:after="100"/>
      </w:pPr>
      <w:r>
        <w:t xml:space="preserve">Price: 52-week closing range $130.37–$186.02 (low 2025-11-20, high 2026-08-06). Returns: 1 month -3.9%, 3 months -7.1%, 12 months 14.9%, 12−1 months 19.5%. Above the 200-day average ($157.00). Consensus: 11 analysts, mean target $193.91 (16.8%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Direct-to-consumer and agency (American Income, Liberty National, Family Heritage) life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~75% of premium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UW margin $359M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42% of premium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 insurance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Supplemental health, Medicare supplement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middle-income households; exclusive agency and direct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Primerica, Aflac, CNO Financial.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Life &amp; health insurer (A-IN): excess-return model on book and sustainable ROE.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FY2022 $5.23B → FY2025 $5.99B (CAGR 4.7%); diluted EPS FY2022 7.47 → FY2025 14.07 (CAGR 23.5%; reported currency). Consensus next-year revenue growth 6.5%.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11.0× trailing on reported (GAAP) profit, 10.1×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1.51: forward P/E ÷ consensus EPS growth for the current and next fiscal year (6.7%/yr).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4.7%, but EPS compounds faster via buybacks (share count −6.5%/yr). P/E 11.0× trailing, 10.1× forward.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Normalised ROE 21.6%; trend 23.0% → 21.9% → 20.6% (two declines = the Compounder trend fail).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updates (Q3) inflate one quarter's margin; the persistent measure is the 41–42% underlying margin.</w:t>
      </w:r>
    </w:p>
    <w:p>
      <w:pPr>
        <w:spacing w:after="100"/>
      </w:pPr>
      <w:r>
        <w:t xml:space="preserve">ROE on book (ex-unusual items where applicable): 23.0% (FY2023) → 22.2% (FY2024) → 20.8% (FY2025); normalised (3-yr + TTM) 21.6%. Cost of equity 8.4%.</w:t>
      </w:r>
    </w:p>
    <w:p>
      <w:pPr>
        <w:spacing w:after="100"/>
      </w:pPr>
      <w:r>
        <w:t xml:space="preserve">Dilution: share count 97M → 79M (-6.5%/yr). Last-FY buybacks $881M.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0.46,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3.0%). Book value/share $77.74 (P/B 2.14×, P/TBV 2.33×); normalised ROE 21.6% (ROE on book (ex-unusual items)); book growth from retention 8.0%/yr (payout ≈ 8%).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@8.4%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@9.9%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$112.94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€99.55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$106.32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$216.14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€190.52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$184.26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23.6%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$290.54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€256.11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$240.33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15.0%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$134.02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$214.54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$295.05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$456.09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$128.55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$247.52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$366.48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$123.42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$169.78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$216.14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$308.86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$118.59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$156.03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$193.48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$268.36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8.4% (beta floor 0.7). Book value excludes AOCI swings from rates, which matter for life insurers at 5%+ yields (not adjusted here).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8.4% cost of equity the price needs ~16.8% ROE vs 21.6%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ROE holds at or above ~17% (the price's requirement) with a stable 41–43% life underwriting margin.</w:t>
      </w:r>
    </w:p>
    <w:p>
      <w:pPr>
        <w:spacing w:after="100"/>
      </w:pPr>
      <w:r>
        <w:t xml:space="preserve">2. Agency recruiting/productivity recovers after the 2024 scrutiny.</w:t>
      </w:r>
    </w:p>
    <w:p>
      <w:pPr>
        <w:spacing w:after="100"/>
      </w:pPr>
      <w:r>
        <w:t xml:space="preserve">3. No regulatory finding that impairs the agency model.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Low-cost direct-to-consumer life distribution;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Low-cost direct and exclusive-agency distribution to middle-income families: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life underwriting margin up 1pp YoY to 42%.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−6.5%/yr.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Integrity: the agency-practice allegations are the main Fisher watch item; insiders hold 0.7%.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0.7%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0.77, forward P/E 10.1×.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100/100 (normalised ROE 21.6%).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19.5%; 3 months -7.1%.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0.46.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momentum,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23% / 22% / 21%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-6.5%/yr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$881M; share count -6.5%/yr; price/Base 0.77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6/7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large and at 0.77×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none (goodwill 1.6% of assets).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organic, via agent recruiting.</w:t>
      </w:r>
    </w:p>
    <w:p>
      <w:pPr>
        <w:pStyle w:val="Heading2"/>
        <w:spacing w:after="120" w:before="240"/>
      </w:pPr>
      <w:r>
        <w:t xml:space="preserve">10. Sector Appendix — Insurance — Life &amp; Health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Life UW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42% of premium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Normalised ROE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(&gt; 15%)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years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2.14×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Below the ~2.8× implied by Base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2026 EPS guide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$15.55–15.95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Raised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$5.23B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$5.45B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$5.78B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$5.99B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11.0×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$40.83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$47.84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$63.18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$881M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11.94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drifted down while buybacks shrank the share count 6.5%/yr: EPS growth is increasingly buyback-driven.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~11× on a 21% ROE business prices governance and persistency risk rather than the numbers.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GL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85 (V 90 / Q 100 / G 46)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$112.94 / $216.14 / $290.54 (€99.55 / €190.52 / €256.11), cost of equity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(6/7)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Life underwriting margin &lt; 38%, OR regulatory action on agency practices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90, Quality 100, Growth 46 → 85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holds at or above ~17% (the price's requirement) with a stable 41–43% life underwriting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Agency recruiting/productivity recovers after the 2024 scrutiny.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regulatory finding that impairs the agency model.</w:t>
      </w:r>
    </w:p>
    <w:p>
      <w:pPr>
        <w:spacing w:after="100"/>
      </w:pPr>
      <w:r>
        <w:t xml:space="preserve">Single biggest risk: Regulatory/short-seller allegations around agency practices; persistency.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regulatory action on agency practices, or the life UW margin falling below 38%, would move value toward Bear ($112.94 / €100).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regulatory closure plus margin at 43–45% would support the Bull case ($290.54).</w:t>
      </w:r>
    </w:p>
    <w:p>
      <w:pPr>
        <w:spacing w:after="100"/>
      </w:pPr>
      <w:r>
        <w:t xml:space="preserve">Sources (Recent Context): Globe Life Q2 2026 press release (prnewswire); Investing.com Q2 call transcript; Yahoo Finance Q2 summary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2026-10-03T12:02:55.255Z</dcterms:created>
  <dcterms:modified xsi:type="dcterms:W3CDTF">2026-10-03T12:02:55.255Z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