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INCY — Incyte Corporation — Long-Term Deep-Dive</w:t>
      </w:r>
    </w:p>
    <w:p>
      <w:pPr>
        <w:spacing w:after="100"/>
      </w:pPr>
      <w:r>
        <w:t xml:space="preserve">Date: 2026-09-30 | Price: $123.20 / €108.60 (close Sept 29, 2026, yfinance; EUR/USD 1.134, GBP/USD 1.323) | Shares ~203M | Market cap ~$24.97B | Cash + ST inv. $3.58B / total debt $40M (FY2025) → net cash ~$3.54B | Next earnings: Q3 2026 in late Oct 2026 (date not confirmed)</w:t>
      </w:r>
    </w:p>
    <w:p>
      <w:pPr>
        <w:spacing w:after="100"/>
      </w:pPr>
      <w:r>
        <w:t xml:space="preserve">[FUNDAMENTAL DATA MISSING — INCY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(8/9 on the Compounder screen); MoS Gate BASE (price $123.20 / €108.60 vs Bear $102.88 / €90.69 / Base $138.25 / €121.87 / Bull $165.77 / €146.13 at a 8.7%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total revenue $1.67bn (+38%), net sales $1.49bn (+40%). Jakafi $817m (+7%); Opzelura $450m including a $246m one-time benefit (CMS settlement); excluding it $204m (+24%). Hematology/oncology $222m (+69%).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net-sales guidance raised to $5.13–5.26bn (from $4.77–4.94bn); Opzelura raised to $1.05–1.10bn; Jakafi unchanged at $3.22–3.27bn. Jakafi XR approved and launched.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$123.20 = 0.89× Base $138.25 (€121.87) at an 8.7% WACC. The market prices ~3% 5-yr revenue growth, which effectively assumes the pipeline only partly offsets Jakafi's 2028 loss of exclusivity.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8/9 (fails buybacks); price above Bear ($102.88) → QUALITY. The investment case is entirely about post-2028 pipeline replacement.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late Jul 2026 (source: Incyte 8-K Ex. 99.1 / BioSpace; Investing.com slides; Seeking Alpha).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$1.67bn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$1.21bn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product sales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$1.49bn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$1.06bn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Jakafi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$817m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$764m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Opzelura (reported)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+173%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Opzelura ex one-time benefit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$204m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Hematology &amp; oncology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$222m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+69%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one-time Opzelura benefit ($246m) relates to a CMS settlement and is non-recurring.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 sales $5.13–5.26bn (raised); Opzelura $1.05–1.10bn (raised); Jakafi $3.22–3.27bn (unchanged); hematology/oncology $860–890m (raised).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Jakafi XR approval and launch (a lifecycle extension ahead of LOE); positive CHMP opinion for Opzelura in moderate atopic dermatitis.</w:t>
      </w:r>
    </w:p>
    <w:p>
      <w:pPr>
        <w:spacing w:after="100"/>
      </w:pPr>
      <w:r>
        <w:t xml:space="preserve">Price: 52-week closing range $82.70–$129.93 (low 2025-09-26, high 2026-07-28). Returns: 1 month -0.9%, 3 months 8.7%, 12 months 49.0%, 12−1 months 50.4%. Above the 200-day average ($106.54). Consensus: 23 analysts, mean target $127.96 (3.9%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Products (Q2 2026):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Jakafi (ruxolitinib)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Myelofibrosis, polycythemia vera, GVHD (US)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$817m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Opzelura (ruxolitinib cream)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Atopic dermatitis, vitiligo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$450m ($204m ex one-off)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Hematology &amp; oncology other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Monjuvi, Pemazyre, Niktimvo, Zynyz, etc.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$222m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Royalties &amp; other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Jakavi (Novartis ex-US), Olumiant (Lilly)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~$180m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US-weighted (Jakafi is US-only); Europe via Novartis royalties and own launches.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Pfizer, Sanofi and AbbVie in dermatology/JAK; GSK and Novartis in myelofibrosis.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A-PH.</w:t>
      </w:r>
      <w:r>
        <w:t xml:space="preserve"> Established commercial biopharma with a patent cliff (A-PH):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 (facing a patent cliff).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FY2022 $3.39B → FY2025 $5.14B (CAGR 14.8%); diluted EPS FY2022 1.52 → FY2025 6.41 (CAGR 61.6%; reported currency). Consensus next-year revenue growth 5.4%.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15.7× trailing on reported (GAAP) profit, 13.9× forward on consensus estimates (yfinance); </w:t>
      </w:r>
      <w:r>
        <w:rPr>
          <w:b/>
          <w:bCs/>
        </w:rPr>
        <w:t xml:space="preserve">17.6×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0.46: forward P/E ÷ consensus EPS growth for the current and next fiscal year (54.4%/yr, capped at 30% because higher growth is rarely sustained).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15.7× trailing / 13.9× forward; revenue CAGR 14.8%.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$598M, OCF $496M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$33M, OCF $335M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$1.29B, OCF $1.41B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FY24 operating margin (2.4%) was depressed by an acquired-IPR&amp;D charge (Escient); FY25 26.1%, TTM 31.6%.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includes a $246m one-time Opzelura benefit, a transitory item that flatters TTM margin.</w:t>
      </w:r>
    </w:p>
    <w:p>
      <w:pPr>
        <w:spacing w:after="100"/>
      </w:pPr>
      <w:r>
        <w:t xml:space="preserve">ROIC (NOPLAT ÷ avg invested capital, equity + debt − cash): 34.2% (FY2023) → 5.5% (FY2024) → 70.1% (FY2025). ROIC ex-goodwill (latest): &gt; 40%. WACC 8.7%.</w:t>
      </w:r>
    </w:p>
    <w:p>
      <w:pPr>
        <w:spacing w:after="100"/>
      </w:pPr>
      <w:r>
        <w:t xml:space="preserve">Margin trend (FY2022–FY2025): gross 93.9% → 93.1% → 92.6% → 92.8%; operating 17.4% → 17.7% → 2.4% → 26.1%; TTM operating 31.6%.</w:t>
      </w:r>
    </w:p>
    <w:p>
      <w:pPr>
        <w:spacing w:after="100"/>
      </w:pPr>
      <w:r>
        <w:t xml:space="preserve">Dilution: share count 223M → 198M (-3.8%/yr). Last-FY buybacks $0M.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0.77,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$5.82B; year-1 growth 5.4% (consensus next-year revenue growth), fading linearly to terminal g + 1pp; operating margin 31.6% (TTM op. margin); tax 22.7%; reinvestment = growth ÷ RONIC (Base RONIC 40.0%); Key-Value-Driver terminal value, g 3.0%. Net cash $3.54B.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@8.7%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@10.2%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28.6% (22.1%)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7.7%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$8.05B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$1.78B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$102.88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€90.69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$87.04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31.6% (24.4%)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$9.22B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$2.25B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$138.25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€121.87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$113.33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33.6% (26.0%)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$10.55B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$2.74B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$165.77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€146.13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$134.01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49% / 57% / 60%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~10.5×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(14.9×) persisted to year 10, Base would be $167.31 / €147.48 (+21%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$177.59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$202.44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$244.29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$149.21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$155.79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$163.59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$184.87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$129.27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$133.46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$138.25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$150.45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$114.50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$117.29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$120.41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$127.95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8.7%,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$117.08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$122.30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$127.52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$134.48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$126.79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$132.52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$138.25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$145.90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$137.59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$143.89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$150.18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$158.58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$149.59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$156.51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$163.44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$172.67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TTM operating margin (31.6%) includes the one-time benefit; ex-benefit it would be ~5pts lower, which trims Base by roughly 10–15% [EST]. The gate is thinner than the headline 0.89×.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(31.6%), RONIC and terminal assumptions, and solve for the growth path that makes value = $123.20.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-0.26×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$5.45B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$5.83B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$6.72B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$7.63B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5.1%.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2.9% vs 5.1%: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The pipeline (povorcitinib, mCALR antibody, Opzelura label expansions) replaces most of Jakafi's ~$3.2bn before and after the 2028 LOE.</w:t>
      </w:r>
    </w:p>
    <w:p>
      <w:pPr>
        <w:spacing w:after="100"/>
      </w:pPr>
      <w:r>
        <w:t xml:space="preserve">2. Revenue grows ~3%+ a year through the cliff (the price's requirement).</w:t>
      </w:r>
    </w:p>
    <w:p>
      <w:pPr>
        <w:spacing w:after="100"/>
      </w:pPr>
      <w:r>
        <w:t xml:space="preserve">3. Opzelura keeps growing 20%+.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 (Jakafi, Opzelura); narrow; </w:t>
      </w:r>
      <w:r>
        <w:rPr>
          <w:b/>
          <w:bCs/>
        </w:rPr>
        <w:t xml:space="preserve">CAP 3–7y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Intangibles (JAK franchise IP, hematology expertise): narrow; CAP 3–7 years (patent-bound).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#2/#3 R&amp;D effectiveness: pipeline breadth is the key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93% gross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−3.8%/yr (buybacks/ASR 2024).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1.8%.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1.8%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13.9×.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93/100 (ROIC ex-GW 77.7%, op. margin 31.6%, FCF/NI 105.1%).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50.4%; 3 months 8.7%.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0.77.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34% / 6% / 70%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105%; last FY 103%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-3.8%/yr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$0M; share count -3.8%/yr;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1.9%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8/9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large 2024 tender; now above Base (fails).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Escient (2024) for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cash $3.5bn.</w:t>
      </w:r>
    </w:p>
    <w:p>
      <w:pPr>
        <w:pStyle w:val="Heading2"/>
        <w:spacing w:after="120" w:before="240"/>
      </w:pPr>
      <w:r>
        <w:t xml:space="preserve">10. Sector Appendix — Pharmaceuticals — Established (A-PH)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Lead product LOE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Jakafi 2028 (US)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Cliff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Growth product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Opzelura +24% (ex one-off)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Pipeline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Povorcitinib (HS, vitiligo), mCALR antibody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assessed in depth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Post-cliff EV/EBITDA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computed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$3.5bn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Supports BD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$3.70B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$4.24B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$5.14B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$5.14B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170.6×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$3.20B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$3.62B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$2.11B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$3.54B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$3.54B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721%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swung 34% → 5.5% → 70% (the FY24 IPR&amp;D charge): the 5-yr average hides a highly profitable franchise.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P/E (~16×) already embeds the cliff; the market pays little for the pipeline.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INCY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A-PH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 (facing a patent cliff)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80 (V 76 / Q 93 / G 60)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$102.88 / $138.25 / $165.77 (€90.69 / €121.87 / €146.13), WACC 8.7%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(8/9)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Opzelura growth &lt; 15%, OR a late-stage pipeline failure (povorcitinib)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76, Quality 93, Growth 60 → 80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pipeline (povorcitinib, mCALR antibody, Opzelura label expansions) replaces most of Jakafi's ~$3.2bn before and after the 2028 LOE.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~3%+ a year through the cliff (the price's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Opzelura keeps growing 20%+.</w:t>
      </w:r>
    </w:p>
    <w:p>
      <w:pPr>
        <w:spacing w:after="100"/>
      </w:pPr>
      <w:r>
        <w:t xml:space="preserve">Single biggest risk: Jakafi loss of exclusivity (2028) — the pipeline must replace it.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late-stage pipeline failure (povorcitinib) would push value toward Bear ($102.88 / €91).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approvals replacing &gt; 50% of Jakafi by 2029 would support Bull ($165.77).</w:t>
      </w:r>
    </w:p>
    <w:p>
      <w:pPr>
        <w:spacing w:after="100"/>
      </w:pPr>
      <w:r>
        <w:t xml:space="preserve">Sources (Recent Context): Incyte Q2 2026 8-K Ex. 99.1 / BioSpace; Investing.com Q2 slides; Seeking Alpha; GuruFocus call highlights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2026-10-03T12:02:55.621Z</dcterms:created>
  <dcterms:modified xsi:type="dcterms:W3CDTF">2026-10-03T12:02:55.621Z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