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RL — Ralph Lauren Corporation — Long-Term Deep-Dive</w:t>
      </w:r>
    </w:p>
    <w:p>
      <w:pPr>
        <w:spacing w:after="100"/>
      </w:pPr>
      <w:r>
        <w:t xml:space="preserve">Date: 2026-09-30 | Price: $355.92 / €313.74 (close Sept 29, 2026, yfinance; EUR/USD 1.134, GBP/USD 1.323) | Shares ~60M | Market cap ~$21.21B | Cash + ST inv. $2.06B / total debt $3.01B (FY2026 (03/26)) → net debt ~$944M | Next earnings: Q2 FY27 in early Nov 2026 (date not confirmed)</w:t>
      </w:r>
    </w:p>
    <w:p>
      <w:pPr>
        <w:spacing w:after="100"/>
      </w:pPr>
      <w:r>
        <w:t xml:space="preserve">[FUNDAMENTAL DATA MISSING — RL is not in ./data/fundamental_data.json. Figures come from yfinance statements (FY2023 (03/23)–FY2026 (03/26)),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[SHARE COUNT: per-share values use all share classes (60M = market cap ÷ price). yfinance's 'sharesOutstanding' (38M) covers one class only; reports before 2026-10-03 used it and overstated per-share values by 58%.]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WATCH (COMPOUNDER). Business COMPOUNDER (8/9 on the Compounder screen); MoS Gate NONE (&gt; Bull) (price $355.92 / €313.74 vs Bear $148.27 / €130.70 / Base $220.45 / €194.33 / Bull $285.48 / €251.65 at a 10.6% WACC).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Correction (2026-10-03):</w:t>
      </w:r>
      <w:r>
        <w:t xml:space="preserve"> the 2026-09-30 version of this report divided company value by one share class only (yfinance 'sharesOutstanding'), overstating every per-share value. This version uses all share classes. Ralph Lauren has ~60M economic shares (Class A plus the Lauren family's Class B), not 38M. The verdict changes from QUALITY to </w:t>
      </w:r>
      <w:r>
        <w:rPr>
          <w:b/>
          <w:bCs/>
        </w:rPr>
        <w:t xml:space="preserve">WATCH (COMPOUNDER business)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Q1 FY27 (Aug 6, 2026): revenue $2.0bn (+14% reported, +13% cc), gross margin 73.7% (+140bp), adjusted EPS $4.59; FY27 revenue guide raised to +5–6% cc, operating margin +60–80bp.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Corrected values: Bear $148.27 / Base $220.45 (€194.33) / Bull $285.48 (€251.65) vs a $355.92 price → </w:t>
      </w:r>
      <w:r>
        <w:rPr>
          <w:b/>
          <w:bCs/>
        </w:rPr>
        <w:t xml:space="preserve">MoS Gate NONE, price above the Bull case.</w:t>
      </w:r>
      <w:r>
        <w:t xml:space="preserve"> The price needs ~12.8% annual revenue growth for five years vs 5–6% guided.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business still passes 8/9 on the Compounder screen: an outstanding turnaround now priced like a growth company. Wait for price, not for business evidence.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Q1 FY27 (quarter ended Jun 27, 2026), reported Aug 6, 2026 (source: Ralph Lauren press release / 8-K; TradingView; Seeking Alpha).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$2.0bn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$1.72bn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+14% (+13% cc)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73.7%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72.3%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+140bp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Adjusted EPS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$4.59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beat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AUR growth and favourable channel/geographic mix (Asia, DTC) offset tariff pressure.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FY27 revenue +5–6% cc (raised); operating margin +60–80bp; Q2 revenue +5–6% cc.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tariffs on apparel imports are the main cost headwind; so far offset by pricing.</w:t>
      </w:r>
    </w:p>
    <w:p>
      <w:pPr>
        <w:spacing w:after="100"/>
      </w:pPr>
      <w:r>
        <w:t xml:space="preserve">Price: 52-week closing range $308.64–$414.25 (low 2025-09-29, high 2026-06-24). Returns: 1 month 0.5%, 3 months -11.3%, 12 months 14.1%, 12−1 months 13.5%. Below the 200-day average ($365.39). Consensus: 17 analysts, mean target $446.71 (25.5%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North America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DTC and wholesale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~42%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Europe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DTC and wholesale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~30%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Asia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Mainly DTC (China, Japan, Korea)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~25%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fastest growing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Global; DTC ~2/3 of revenue [EST].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Tapestry, PVH, Tommy Hilfiger, luxury houses in the upper tier.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sourced TAM retrieved.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A-CD.</w:t>
      </w:r>
      <w:r>
        <w:t xml:space="preserve"> Premium apparel brand (A-CD): FCFF DCF.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FY2023 (03/23) $6.44B → FY2026 (03/26) $8.11B (CAGR 8.0%); diluted EPS FY2023 (03/23) 7.58 → FY2026 (03/26) 15.11 (CAGR 25.9%; reported currency). Consensus next-year revenue growth 5.1%.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22.4× trailing on reported (GAAP) profit, 17.0× forward on consensus estimates (yfinance); </w:t>
      </w:r>
      <w:r>
        <w:rPr>
          <w:b/>
          <w:bCs/>
        </w:rPr>
        <w:t xml:space="preserve">19.3× on recurring operating profit after tax</w:t>
      </w:r>
      <w:r>
        <w:t xml:space="preserve"> (TTM),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1.38: forward P/E ÷ consensus EPS growth for the current and next fiscal year (12.3%/yr).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22.4× trailing / 17.0× forward: the de-rated turnaround has become a quality stalwart and is priced as one.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 (03/24)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-6.3%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$646M, OCF $1.07B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 (03/25)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-7.2%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$743M, OCF $1.24B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FY2026 (03/26)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-2.9%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$941M, OCF $1.15B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−2.9%; FCF/NI 113%.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margin 11.7% → 16.0% (FY23–FY26): persistent, driven by gross-margin expansion.</w:t>
      </w:r>
    </w:p>
    <w:p>
      <w:pPr>
        <w:spacing w:after="100"/>
      </w:pPr>
      <w:r>
        <w:t xml:space="preserve">ROIC (NOPLAT ÷ avg invested capital, equity + debt − cash): 19.5% (FY2024 (03/24)) → 23.7% (FY2025 (03/25)) → 29.8% (FY2026 (03/26)). ROIC ex-goodwill (latest): &gt; 40%. WACC 10.6%.</w:t>
      </w:r>
    </w:p>
    <w:p>
      <w:pPr>
        <w:spacing w:after="100"/>
      </w:pPr>
      <w:r>
        <w:t xml:space="preserve">Margin trend (FY2023 (03/23)–FY2026 (03/26)): gross 64.7% → 66.8% → 68.6% → 69.9%; operating 11.7% → 12.5% → 14.0% → 16.0%; TTM operating 16.4%.</w:t>
      </w:r>
    </w:p>
    <w:p>
      <w:pPr>
        <w:spacing w:after="100"/>
      </w:pPr>
      <w:r>
        <w:t xml:space="preserve">Dilution: share count 66M → 60M (-2.9%/yr). Last-FY buybacks $624M.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1.35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1.35,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11.36%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12.4%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10.62%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$8.36B; year-1 growth 5.1% (consensus next-year revenue growth), fading linearly to terminal g + 1pp; operating margin 16.4% (TTM op. margin); tax 20.1%; reinvestment = growth ÷ RONIC (Base RONIC 40.0%); Key-Value-Driver terminal value, g 3.0%. Net debt $944M.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@10.6%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@12.1%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3.6%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13.4% (10.7%)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30.0% / 9.6%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$11.45B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$1.23B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$148.27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€130.70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$123.41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5.1%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16.4% (13.1%)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40.0%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$13.07B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$1.71B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$220.45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€194.33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$181.82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6.7%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18.4% (14.7%)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50.0% / 20.0%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$14.89B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$2.19B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$285.48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€251.65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$234.09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43% / 48% / 51% of EV (Bear / Base / Bull), below 60%: most value is in the explicit period.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~7.4×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(14.5×) persisted to year 10, Base would be $330.23 / €291.09 (+50% vs Method 1) — a &gt; 30% divergence, re-examined: the gap is the terminal-multiple assumption (Method 2 assumes today's market multiple, set in a lower-rate regime, persists for a decade). Method 1 stays the anchor per Koller.</w:t>
      </w:r>
    </w:p>
    <w:p>
      <w:pPr>
        <w:spacing w:after="100"/>
      </w:pPr>
      <w:r>
        <w:rPr>
          <w:b/>
          <w:bCs/>
        </w:rPr>
        <w:t xml:space="preserve">MoS Gate: NONE (&gt; Bull).</w:t>
      </w:r>
      <w:r>
        <w:t xml:space="preserve"> Price above Base.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8.6%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$279.29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$290.64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$303.70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$337.11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9.6%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$239.84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$247.39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$255.83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$276.34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10.6%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$209.55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$214.75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$220.45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$233.74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$185.56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$189.25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$193.22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$202.16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10.6%,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$162.43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$182.36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$202.30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$228.87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$177.27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$198.86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$220.45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$249.24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$193.63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$217.05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$240.47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$271.70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$211.67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$237.11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$262.55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$296.47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Shares: ~60M across Class A and Class B (market cap ÷ price), not yfinance's ~38M Class A 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WACC 10.6%. Even at 9.6%, Base stays well below the price (see the grid).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(16.4%), RONIC and terminal assumptions, and solve for the growth path that makes value = $355.92.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9.1%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1.79×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8.8%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$12.71B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9.6%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2.07×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$13.54B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10.6%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2.62×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12.8%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$15.27B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3.15×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15.4%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$17.10B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4.9%.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12.8% vs 4.9%: &gt; 2× the base path → priced for perfection.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Revenue grows ~13% a year for five years (the price's requirement), more than double the 5–6% guide.</w:t>
      </w:r>
    </w:p>
    <w:p>
      <w:pPr>
        <w:spacing w:after="100"/>
      </w:pPr>
      <w:r>
        <w:t xml:space="preserve">2. Gross margin holds ~70%+ despite tariffs.</w:t>
      </w:r>
    </w:p>
    <w:p>
      <w:pPr>
        <w:spacing w:after="100"/>
      </w:pPr>
      <w:r>
        <w:t xml:space="preserve">3. Asia keeps growing double digits.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 (elevated positioning, full-price selling); narrow-to-wide; </w:t>
      </w:r>
      <w:r>
        <w:rPr>
          <w:b/>
          <w:bCs/>
        </w:rPr>
        <w:t xml:space="preserve">CAP 7–10y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 (elevated positioning, full-price selling): narrow-to-wide; CAP 7–10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gross margin 64.7% → 69.9% (FY23–26) → 73.7% in Q1 FY27.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−2.9%/yr.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Founder family 2.5%; consistent execution of the multi-year plan.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2.5%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price/Base DCF 1.61, forward P/E 17.0×.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82/100 (ROIC ex-GW 40.1%, op. margin 16.4%, FCF/NI 112.8%).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12−1 month 13.5%; 3 months -11.3%.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1.35.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quality, momentum.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19% / 24% / 30%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16.4%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113%; last FY 75%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-2.9%/yr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$624M; share count -2.9%/yr; price/Base 1.61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11.7%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8/9 scorable → COMPOUNDER (business). MoS Gate NONE (&gt; Bull) → WATCH (COMPOUNDER)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steady, but now at ~1.6× the corrected Base value (above value).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none (goodwill 11.7% of assets).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Dividend ~1.1%.</w:t>
      </w:r>
    </w:p>
    <w:p>
      <w:pPr>
        <w:pStyle w:val="Heading2"/>
        <w:spacing w:after="120" w:before="240"/>
      </w:pPr>
      <w:r>
        <w:t xml:space="preserve">10. Sector Appendix — Consumer Discretionary — Apparel (A-CD)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+14% (Q1 FY27)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73.7%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Operating margin guide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+60–80bp FY27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Expanding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29.8% (FY26)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Tariff exposure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Offset so far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Watch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(FY2023 (03/23)–FY2026 (03/26))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 (03/23)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 (03/24)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 (03/25)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FY2026 (03/26)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$6.44B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$6.63B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$7.08B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$8.11B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$8.11B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64.7%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66.8%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68.6%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69.9%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69.9%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22.5×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20.5×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7.5×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14.5×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1.19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−$1.32B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−$892M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−$585M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−$944M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−$944M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8.7%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 (03/23)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 (03/24)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 (03/25)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FY2026 (03/26)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$449M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$449M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60M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11.7%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elevation strategy converted a low-return brand into a ~30% ROIC business (8/9 on the Compounder screen).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multiple has re-rated to ~19× operating profit after tax (22× reported); the price now discounts growth well above guidance.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RL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A-CD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54 (V 29 / Q 82 / G 50)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Fair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$148.27 / $220.45 / $285.48 (€130.70 / €194.33 / €251.65), WACC 10.6%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NONE (&gt; Bull)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WATCH (COMPOUNDER) (8/9)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5–10yr if re-priced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Constant-currency revenue growth &lt; 3%, OR operating margin &lt; 14%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29, Quality 82, Growth 50 → 54 (Fair).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grows ~13% a year for five years (the price's requirement), more than double the 5–6% guide.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Gross margin holds ~70%+ despite tariffs.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Asia keeps growing double digits.</w:t>
      </w:r>
    </w:p>
    <w:p>
      <w:pPr>
        <w:spacing w:after="100"/>
      </w:pPr>
      <w:r>
        <w:t xml:space="preserve">Single biggest risk: Tariffs and a weakening US consumer.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price near Base (~$220 / €194) would move the verdict to QUALITY or better (COMPOUNDER-grade business).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Gross margin below 68%, or North America declines, would push value toward Bear ($148 / €131).</w:t>
      </w:r>
    </w:p>
    <w:p>
      <w:pPr>
        <w:spacing w:after="100"/>
      </w:pPr>
      <w:r>
        <w:t xml:space="preserve">Sources (Recent Context): Ralph Lauren Q1 FY27 press release (corporate.ralphlauren.com); TradingView; Seeking Alpha; Motley Fool Q1 transcript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2026-10-03T12:03:29.727Z</dcterms:created>
  <dcterms:modified xsi:type="dcterms:W3CDTF">2026-10-03T12:03:29.729Z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