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SBAC — SBA Communications Corporation — Long-Term Deep-Dive</w:t>
      </w:r>
    </w:p>
    <w:p>
      <w:pPr>
        <w:spacing w:after="100"/>
      </w:pPr>
      <w:r>
        <w:t xml:space="preserve">Date: 2026-09-30 | Price: $162.81 / €143.52 (close Sept 29, 2026, yfinance; EUR/USD 1.134, GBP/USD 1.323) | Shares ~106M | Market cap ~$17.27B | Book equity −$4.85B (FY2025), BV/share $-45.75 | Next earnings: Q3 2026 in early Nov 2026 (date not confirmed)</w:t>
      </w:r>
    </w:p>
    <w:p>
      <w:pPr>
        <w:spacing w:after="100"/>
      </w:pPr>
      <w:r>
        <w:t xml:space="preserve">[FUNDAMENTAL DATA MISSING — SBAC is not in ./data/fundamental_data.json. Figures come from yfinance statements (FY2022–FY2025), company releases and press coverage cited in §0; valuation uses the same engine as LT_SCREEN_2026-09-29 (FCFF / excess-return model, market-specific risk-free rates).]</w:t>
      </w:r>
    </w:p>
    <w:p>
      <w:pPr>
        <w:spacing w:after="100"/>
      </w:pPr>
      <w:r>
        <w:t xml:space="preserve">Macro backdrop (data/daily_macro_report/macro_report_2026-09-29.md; data/macro_regime.json):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REFLATION, MEDIUM confidence, transitioning toward stagflation-lite (macro_report_2026-09-29): growth MIXED, inflation RISING.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10Y UST 5.27% (19-year high zone), 30Y 5.60%. Fed hiked Sept 16; an Oct 28 hike is ~65–73% priced.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Conference Board confidence 81.9 (weakest since Apr 2014), 1-yr inflation expectations 6.1%; JOLTS 7.08M (miss).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Leadership is narrow (QQQ flat, IWM −5.5% over 20 days); XLI and XLY below MA50; XLV/XLP lead defensively.</w:t>
      </w:r>
    </w:p>
    <w:p>
      <w:pPr>
        <w:spacing w:after="100"/>
      </w:pPr>
      <w:r>
        <w:rPr>
          <w:b/>
          <w:bCs/>
        </w:rPr>
        <w:t xml:space="preserve">Bottom line up front: QUALITY. Business COMPOUNDER (5/5 on the Compounder screen); MoS Gate BASE (price $162.81 / €143.52 vs Bear $141.37 / €124.62 / Base $173.37 / €152.83 / Bull $203.31 / €179.22 at a 9.7% cost of equity).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Q2 2026 (Aug 3, 2026): site leasing revenue $663.9m (+5.1%), total revenue $715.3m, AFFO/share $3.05. FY26 outlook modestly raised: site leasing $2.651–2.676bn, adjusted EBITDA $1.92–1.94bn, AFFO/share $11.95–12.40.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Valued on the company's AFFO guidance ($12.18/share midpoint)</w:t>
      </w:r>
      <w:r>
        <w:t xml:space="preserve">, not the higher statement-based proxy ($13.95): Base $173.37 (€152.83) vs a $162.81 price → BASE gate → QUALITY. P/AFFO ~13.4×.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price implies ~2.1% perpetual AFFO growth at a 9.7% cost of equity: roughly what US tower leasing (+5% revenue, slower after carrier consolidation) supports. Fair, small margin of safety.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Tower REITs are long-duration assets: with the US 10Y at 5.27%, the cost of equity drives most of the verdict (see the Ke × g grid).</w:t>
      </w:r>
    </w:p>
    <w:p>
      <w:pPr>
        <w:pStyle w:val="Heading2"/>
        <w:spacing w:after="120" w:before="240"/>
      </w:pPr>
      <w:r>
        <w:t xml:space="preserve">0. Recent Context</w:t>
      </w:r>
    </w:p>
    <w:p>
      <w:pPr>
        <w:spacing w:after="100"/>
      </w:pPr>
      <w:r>
        <w:t xml:space="preserve">Last reported quarter: Q2 2026 (quarter ended Jun 30, 2026), reported Aug 3, 2026 (source: SBA press release / 8-K via StockTitan and BigGo; Motley Fool transcript).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200"/>
        <w:gridCol w:w="22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Latest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Prior-year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Δ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Site leasing revenue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$663.9m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$631.7m [derived]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+5.1%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Total revenue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$715.3m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AFFO per share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$3.05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EPS missed, revenue beat (ScanX)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The guidance raise came from higher straight-line revenue and lower net cash interest expense.</w:t>
      </w:r>
    </w:p>
    <w:p>
      <w:pPr>
        <w:spacing w:after="100"/>
      </w:pPr>
      <w:r>
        <w:t xml:space="preserve">Guidance / outlook: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FY26 site leasing revenue $2.651–2.676bn; adjusted EBITDA $1.92–1.94bn; AFFO $1.270–1.318bn; AFFO/share $11.95–12.40.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Quarterly dividend $1.25 (yield ~3.1%).</w:t>
      </w:r>
    </w:p>
    <w:p>
      <w:pPr>
        <w:spacing w:after="100"/>
      </w:pPr>
      <w:r>
        <w:t xml:space="preserve">Recent news (trailing ~90 days):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Carrier consolidation and churn (e.g., EchoStar spectrum sales) remain the sector's structural headwind.</w:t>
      </w:r>
    </w:p>
    <w:p>
      <w:pPr>
        <w:spacing w:after="100"/>
      </w:pPr>
      <w:r>
        <w:t xml:space="preserve">Price: 52-week closing range $162.81–$223.75 (low 2026-09-29, high 2026-04-10). Returns: 1 month -14.7%, 3 months -7.7%, 12 months -16.2%, 12−1 months -1.7%. Below the 200-day average ($191.76). Consensus: 20 analysts, mean target $225.85 (38.7% vs price).</w:t>
      </w:r>
    </w:p>
    <w:p>
      <w:pPr>
        <w:pStyle w:val="Heading2"/>
        <w:spacing w:after="120" w:before="240"/>
      </w:pPr>
      <w:r>
        <w:t xml:space="preserve">1. Business Overview</w:t>
      </w:r>
    </w:p>
    <w:p>
      <w:pPr>
        <w:spacing w:after="100"/>
      </w:pPr>
      <w:r>
        <w:t xml:space="preserve">Segments: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38"/>
        <w:gridCol w:w="1200"/>
        <w:gridCol w:w="900"/>
        <w:gridCol w:w="1200"/>
        <w:gridCol w:w="11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Segment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Revenue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Share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Profit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Margin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Domestic site leasing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~17,000+ US towers leased to AT&amp;T, T-Mobile, Verizon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~$2.0bn/yr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~75%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~80% site margin [EST]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International site leasing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Brazil, Central America, South Africa, etc.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~$0.7bn/yr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~25%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Site development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Services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~$0.2bn/yr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low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Principal markets: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 (most of cash flow) plus ~15 international markets.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Competitors: American Tower, Crown Castle, carrier-owned and private towers.</w:t>
      </w:r>
    </w:p>
    <w:p>
      <w:pPr>
        <w:spacing w:after="100"/>
      </w:pPr>
      <w:r>
        <w:t xml:space="preserve">TAM: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TAM stated.</w:t>
      </w:r>
    </w:p>
    <w:p>
      <w:pPr>
        <w:pStyle w:val="Heading2"/>
        <w:spacing w:after="120" w:before="240"/>
      </w:pPr>
      <w:r>
        <w:t xml:space="preserve">2. Routing</w:t>
      </w:r>
    </w:p>
    <w:p>
      <w:pPr>
        <w:spacing w:after="100"/>
      </w:pPr>
      <w:r>
        <w:rPr>
          <w:b/>
          <w:bCs/>
        </w:rPr>
        <w:t xml:space="preserve">Track A-RE.</w:t>
      </w:r>
      <w:r>
        <w:t xml:space="preserve"> Tower REIT (A-RE): AFFO Gordon-growth model at the cost of equity. Valuation anchor: AFFO Gordon growth.</w:t>
      </w:r>
    </w:p>
    <w:p>
      <w:pPr>
        <w:pStyle w:val="Heading2"/>
        <w:spacing w:after="120" w:before="240"/>
      </w:pPr>
      <w:r>
        <w:t xml:space="preserve">3. Categorization (Lynch)</w:t>
      </w:r>
    </w:p>
    <w:p>
      <w:pPr>
        <w:spacing w:after="100"/>
      </w:pPr>
      <w:r>
        <w:rPr>
          <w:b/>
          <w:bCs/>
        </w:rPr>
        <w:t xml:space="preserve">SlowGrower.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FY2022 $2.63B → FY2025 $2.82B (CAGR 2.2%); diluted EPS FY2022 4.22 → FY2025 9.8 (CAGR 32.4%; reported currency). Consensus next-year revenue growth 2.5%.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17.6× trailing on reported (GAAP) profit, 19.9× forward on consensus estimates (yfinance).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PEG: not meaningful (consensus EPS growth -7.6%/yr is below 3% or unavailable).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P/AFFO ~13.4×; dividend yield ~3.1%, growing.</w:t>
      </w:r>
    </w:p>
    <w:p>
      <w:pPr>
        <w:pStyle w:val="Heading2"/>
        <w:spacing w:after="120" w:before="240"/>
      </w:pPr>
      <w:r>
        <w:t xml:space="preserve">4. Earnings Quality (Penman)</w:t>
      </w:r>
    </w:p>
    <w:p>
      <w:pPr>
        <w:spacing w:after="100"/>
      </w:pPr>
      <w:r>
        <w:t xml:space="preserve">Accrual ratio, (NI − OCF) / avg total assets: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6138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Year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Accrual ratio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Components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-10.0%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$502M, OCF $1.54B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-5.4%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$750M, OCF $1.33B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-2.1%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$1.05B, OCF $1.29B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No Sloan flag: earnings are cash-backed at the operating level.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Negative book equity (leveraged recapitalisations and buybacks) makes ROE meaningless; AFFO is the persistent measure.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Straight-line revenue is a non-cash component of reported revenue (flagged as a guidance driver).</w:t>
      </w:r>
    </w:p>
    <w:p>
      <w:pPr>
        <w:spacing w:after="100"/>
      </w:pPr>
      <w:r>
        <w:t xml:space="preserve">ROE on book (ex-unusual items where applicable): n/a; normalised (3-yr + TTM) –. Cost of equity 9.7%.</w:t>
      </w:r>
    </w:p>
    <w:p>
      <w:pPr>
        <w:spacing w:after="100"/>
      </w:pPr>
      <w:r>
        <w:t xml:space="preserve">Dilution: share count 108M → 106M (-0.7%/yr). Last-FY buybacks $498M.</w:t>
      </w:r>
    </w:p>
    <w:p>
      <w:pPr>
        <w:pStyle w:val="Heading2"/>
        <w:spacing w:after="120" w:before="240"/>
      </w:pPr>
      <w:r>
        <w:t xml:space="preserve">5. Valuation — AFFO Gordon Growth (REIT)</w:t>
      </w:r>
    </w:p>
    <w:p>
      <w:pPr>
        <w:spacing w:after="100"/>
      </w:pPr>
      <w:r>
        <w:t xml:space="preserve">Cost of equity construction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4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Input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Risk-free rate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5.27%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10Y UST, macro_report_2026-09-29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Equity risk premium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4.5%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Agent calibration (Damodaran implied)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Beta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0.98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yfinance raw 0.98, clipped to 0.7–1.4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Cost of equity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9.70%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 + β × ERP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Model: value = AFFO/share × (1 + g) ÷ (Ke − g). FFO/share $14.68, AFFO/share $12.18 (FFO ≈ NI + D&amp;A − unusual items; AFFO = × 0.95); P/FFO 11.1×.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1900"/>
        <w:gridCol w:w="1938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Scenario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Perpetual AFFO growth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 @9.7%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€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 @11.2%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Bear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$141.37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€124.62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$120.58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Base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2.5%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$173.37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€152.83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$143.47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Bull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3.5%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$203.31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€179.22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$163.69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MoS Gate: BASE.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925"/>
        <w:gridCol w:w="1925"/>
        <w:gridCol w:w="1925"/>
        <w:gridCol w:w="1925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Ke \ g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1.0%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2.0%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2.5%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3.5%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7.7%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$183.59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$217.94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$240.08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$300.17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8.7%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$159.74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$185.41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$201.35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$242.42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9.7%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$141.37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$161.32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$173.37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$203.31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10.7%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$126.80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$142.77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$152.22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$175.06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AFFO/share override: company guidance midpoint $12.18 (Q2 2026). The statement-based proxy ($13.95) would give Base $198.60.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Net debt ~$15bn (~7.7× EBITDA [EST]): leverage magnifies rate sensitivity.</w:t>
      </w:r>
    </w:p>
    <w:p>
      <w:pPr>
        <w:pStyle w:val="Heading2"/>
        <w:spacing w:after="120" w:before="240"/>
      </w:pPr>
      <w:r>
        <w:t xml:space="preserve">6. Mauboussin — Price-Implied Expectations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38"/>
      </w:tblGrid>
      <w:tr>
        <w:trPr>
          <w:tblHeader/>
        </w:trP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Cost of equity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Implied perpetual AFFO growth</w:t>
            </w:r>
          </w:p>
        </w:tc>
      </w:tr>
      <w:t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8.2%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0.7%</w:t>
            </w:r>
          </w:p>
        </w:tc>
      </w:tr>
      <w:t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8.7%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1.1%</w:t>
            </w:r>
          </w:p>
        </w:tc>
      </w:tr>
      <w:t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9.7%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2.1%</w:t>
            </w:r>
          </w:p>
        </w:tc>
      </w:tr>
      <w:t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10.7%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3.0%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What has to be true:</w:t>
      </w:r>
    </w:p>
    <w:p>
      <w:pPr>
        <w:spacing w:after="100"/>
      </w:pPr>
      <w:r>
        <w:t xml:space="preserve">1. AFFO/share grows ~2%+ a year in perpetuity (the price's requirement).</w:t>
      </w:r>
    </w:p>
    <w:p>
      <w:pPr>
        <w:spacing w:after="100"/>
      </w:pPr>
      <w:r>
        <w:t xml:space="preserve">2. US carriers keep adding equipment (5G densification) despite consolidation.</w:t>
      </w:r>
    </w:p>
    <w:p>
      <w:pPr>
        <w:spacing w:after="100"/>
      </w:pPr>
      <w:r>
        <w:t xml:space="preserve">3. Refinancing at higher rates doesn't erode AFFO/share.</w:t>
      </w:r>
    </w:p>
    <w:p>
      <w:pPr>
        <w:spacing w:after="100"/>
      </w:pPr>
      <w:r>
        <w:t xml:space="preserve">Moat and CAP: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Efficient scale (tower portfolio); wide; </w:t>
      </w:r>
      <w:r>
        <w:rPr>
          <w:b/>
          <w:bCs/>
        </w:rPr>
        <w:t xml:space="preserve">CAP 10–15y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Efficient scale (tower sites with local zoning barriers and multi-tenant economics): wide; CAP 10–15 years.</w:t>
      </w:r>
    </w:p>
    <w:p>
      <w:pPr>
        <w:pStyle w:val="Heading2"/>
        <w:spacing w:after="120" w:before="240"/>
      </w:pPr>
      <w:r>
        <w:t xml:space="preserve">7. Fisher — Qualitative Checklist (points the data speaks to)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#5/#6 Margins: operating margin ~55%.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#13 Equity financing: none; share count −0.7%/yr.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Insiders 0.8%.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Management alignment: insiders hold 0.8% of shares (yfinance aggregate).</w:t>
      </w:r>
    </w:p>
    <w:p>
      <w:pPr>
        <w:pStyle w:val="Heading2"/>
        <w:spacing w:after="120" w:before="240"/>
      </w:pPr>
      <w:r>
        <w:t xml:space="preserve">8. Ilmanen — Factor Read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Factor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Value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Partial: price/Base DCF 0.94, forward P/E 19.9×.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Quality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Absent: quality sub-score n/a/100 (normalised ROE –).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Momentum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Neutral: 12−1 month -1.7%; 3 months -7.7%.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Low beta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Absent: beta 0.98.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Net: no factor tailwind present — that is itself the finding.</w:t>
      </w:r>
    </w:p>
    <w:p>
      <w:pPr>
        <w:pStyle w:val="Heading2"/>
        <w:spacing w:after="120" w:before="240"/>
      </w:pPr>
      <w:r>
        <w:t xml:space="preserve">9. Quality Compounder Screen (Framework 8)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8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Criterion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Result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Evidence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 avg &gt; 15% (fin. proxy)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 trend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Op. margin &gt; 15%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54.0%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FCF/NI &gt; 80%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 (balance-sheet business)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CapEx/Rev &lt; 10%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Self-funded (dilution ≤ 1%/yr)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 count -0.7%/yr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Insider ownership &gt; 0.5%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0.8% aggregate insiders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Buybacks at/below value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last-FY buybacks $498M; share count -0.7%/yr; price/Base 0.94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&lt; 40% of assets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24.9% of assets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5/5 scorable → COMPOUNDER (business). MoS Gate BASE → QUALITY at today's price.</w:t>
      </w:r>
    </w:p>
    <w:p>
      <w:pPr>
        <w:spacing w:after="100"/>
      </w:pPr>
      <w:r>
        <w:t xml:space="preserve">Capital allocation (Thorndike):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Capital allocation: buybacks when cheap (passes), tower acquisitions at disciplined prices.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Debt: high but fixed-rate and laddered (not re-verified).</w:t>
      </w:r>
    </w:p>
    <w:p>
      <w:pPr>
        <w:pStyle w:val="Heading2"/>
        <w:spacing w:after="120" w:before="240"/>
      </w:pPr>
      <w:r>
        <w:t xml:space="preserve">10. Sector Appendix — REITs — Towers (A-RE)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33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value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Site leasing growth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+5.1% (Q2 2026)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AFFO/share guide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$11.95–12.40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Modestly raised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P/AFFO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~13.4×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Below the 20×+ of the low-rate era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Leverage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~7–8× EBITDA [EST]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Dividend yield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3.1%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Growing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t xml:space="preserve">11. Five-Year Ratio Trend Analysis</w:t>
      </w:r>
    </w:p>
    <w:p>
      <w:pPr>
        <w:spacing w:after="100"/>
      </w:pPr>
      <w:r>
        <w:t xml:space="preserve">4 fiscal years available from yfinance (FY2022–FY2025) — fewer than five; not padded. Historical multiples use the fiscal-year-end share price; the last column uses the Sept 29, 2026 price on the latest fiscal-year fundamentals. EBITDA = operating income + D&amp;A. Amounts in the listing currency (converted from reporting currency where different).</w:t>
      </w:r>
    </w:p>
    <w:p>
      <w:pPr>
        <w:pStyle w:val="Heading3"/>
        <w:spacing w:after="80" w:before="160"/>
      </w:pPr>
      <w:r>
        <w:t xml:space="preserve">Base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$2.63B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$2.71B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$2.68B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$2.82B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$2.82B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 growth YoY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-1.2%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5.1%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Gross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74.6%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77.4%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78.3%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75.5%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75.5%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EBITDA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28.0%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37.4%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37.4%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65.6×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54.6×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29.2×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16.4×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10.1×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6.1×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EV/EBITDA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Debt/Equity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cash / (net debt)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Sector-Specific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Book value / share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$-48.86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$-47.86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$-47.51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$-45.93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$-45.93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P/TBV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Buybacks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$432M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$100M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$200M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$498M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$498M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Diluted EPS (reported ccy)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4.22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4.61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6.94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9.80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9.80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Shares outstanding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108M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108M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108M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106M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106M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/ assets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26.2%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24.1%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24.9%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24.9%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Interpretation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CAGR of only 2.2% (FY22–25) reflects churn from carrier consolidation; leasing is re-accelerating to ~5%.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multiple compression (P/AFFO from 20×+ to ~13×) is the rate effect, not a business deterioration.</w:t>
      </w:r>
    </w:p>
    <w:p>
      <w:pPr>
        <w:pStyle w:val="Heading2"/>
        <w:spacing w:after="120" w:before="240"/>
      </w:pPr>
      <w:r>
        <w:t xml:space="preserve">12. Final Verdict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"/>
        <w:gridCol w:w="800"/>
        <w:gridCol w:w="900"/>
        <w:gridCol w:w="800"/>
        <w:gridCol w:w="1300"/>
        <w:gridCol w:w="700"/>
        <w:gridCol w:w="900"/>
        <w:gridCol w:w="750"/>
        <w:gridCol w:w="600"/>
        <w:gridCol w:w="1678"/>
      </w:tblGrid>
      <w:tr>
        <w:trPr>
          <w:tblHeader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TICKER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Track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F-Score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F-Rating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DCF Bear-Base-Bull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MoS Gate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Compounder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AI Impact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Horizon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Thesis Invalidation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SBAC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A-RE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SlowGrower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64 (V 77 / Q n/a / G 37)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Undervalued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$141.37 / $173.37 / $203.31 (€124.62 / €152.83 / €179.22), cost of equity 9.7%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BASE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QUALITY (5/5)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TAILWIND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3–5yr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Organic leasing growth &lt; 3%, OR net debt/EBITDA &gt; 7.5×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F-Score detail (Track A: Value 40% / Quality 40% / Growth 20%): Value 77, Quality n/a, Growth 37 → 64 (Undervalued).</w:t>
      </w:r>
    </w:p>
    <w:p>
      <w:pPr>
        <w:spacing w:after="100"/>
      </w:pPr>
      <w:r>
        <w:t xml:space="preserve">What has to be true: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AFFO/share grows ~2%+ a year in perpetuity (the price's requirement).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 carriers keep adding equipment (5G densification) despite consolidation.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Refinancing at higher rates doesn't erode AFFO/share.</w:t>
      </w:r>
    </w:p>
    <w:p>
      <w:pPr>
        <w:spacing w:after="100"/>
      </w:pPr>
      <w:r>
        <w:t xml:space="preserve">Single biggest risk: Carrier consolidation and churn (e.g., EchoStar/DISH); leverage.</w:t>
      </w:r>
    </w:p>
    <w:p>
      <w:pPr>
        <w:spacing w:after="100"/>
      </w:pPr>
      <w:r>
        <w:t xml:space="preserve">What would most change the verdict: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Organic leasing growth below 3%, or net debt/EBITDA above 8×, would push value toward Bear ($141.37 / €125).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lower 10Y (≤ 4.5%) would lift value toward Bull ($203.31) and beyond.</w:t>
      </w:r>
    </w:p>
    <w:p>
      <w:pPr>
        <w:spacing w:after="100"/>
      </w:pPr>
      <w:r>
        <w:t xml:space="preserve">Sources (Recent Context): SBA Q2 2026 results (StockTitan / BigGo); Motley Fool Q2 transcript; ScanX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2026-10-03T12:02:56.201Z</dcterms:created>
  <dcterms:modified xsi:type="dcterms:W3CDTF">2026-10-03T12:02:56.201Z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