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STZ — Constellation Brands, Inc. — Long-Term Deep-Dive</w:t>
      </w:r>
    </w:p>
    <w:p>
      <w:pPr>
        <w:spacing w:after="100"/>
      </w:pPr>
      <w:r>
        <w:t xml:space="preserve">Date: 2026-09-30 | Price: $112.77 / €99.41 (close Sept 29, 2026, yfinance; EUR/USD 1.134, GBP/USD 1.323) | Shares ~171M | Market cap ~$19.26B | Cash + ST inv. $102M / total debt $11.20B (FY2026 (02/26)) → net debt ~$11.10B | Next earnings: Q2 FY27 in early Oct 2026 (date not confirmed)</w:t>
      </w:r>
    </w:p>
    <w:p>
      <w:pPr>
        <w:spacing w:after="100"/>
      </w:pPr>
      <w:r>
        <w:t xml:space="preserve">[FUNDAMENTAL DATA MISSING — STZ is not in ./data/fundamental_data.json. Figures come from yfinance statements (FY2023 (02/23)–FY2026 (02/26)),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REFLATION, MEDIUM confidence, transitioning toward stagflation-lite (macro_report_2026-09-29): growth MIXED, inflation RISING.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10Y UST 5.27% (19-year high zone), 30Y 5.60%. Fed hiked Sept 16; an Oct 28 hike is ~65–73% priced.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Conference Board confidence 81.9 (weakest since Apr 2014), 1-yr inflation expectations 6.1%; JOLTS 7.08M (miss).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is narrow (QQQ flat, IWM −5.5% over 20 days); XLI and XLY below MA50; XLV/XLP lead defensively.</w:t>
      </w:r>
    </w:p>
    <w:p>
      <w:pPr>
        <w:spacing w:after="100"/>
      </w:pPr>
      <w:r>
        <w:rPr>
          <w:b/>
          <w:bCs/>
        </w:rPr>
        <w:t xml:space="preserve">Bottom line up front: QUALITY. Business COMPOUNDER (8/9 on the Compounder screen); MoS Gate BASE (price $112.77 / €99.41 vs Bear $97.20 / €85.68 / Base $184.96 / €163.04 / Bull $219.38 / €193.39 at a 7.2% WACC).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Q1 FY27 (quarter ended May 31, 2026; reported early Jul 2026): net sales $2.43bn (−3.3%); beer revenue $2.28bn (+2%) on price and shipments; beer depletions −0.3% (Modelo Especial ~−2%, Corona Extra &gt; −5%; Pacifico +21%, Victoria +14%, Modelo Chelada +6%). FY27 adjusted EPS guide held at $11.20–11.90. Shares rose ~8.5% on the print.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$112.77 = 0.61× Base $185.03 (€163.10) at a 7.2% WACC. The price implies revenue </w:t>
      </w:r>
      <w:r>
        <w:rPr>
          <w:i/>
          <w:iCs/>
        </w:rPr>
        <w:t xml:space="preserve">shrinking</w:t>
      </w:r>
      <w:r>
        <w:t xml:space="preserve"> ~2% a year for five years: the market prices structural decline in US beer (Hispanic consumer weakness, tariffs on Mexican imports, GLP-1s and moderation).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8/9 (ROIC ~11–13% fails the 15% bar); FCF/NI 157%, P/E 10.7×, dividend ~3.7% → QUALITY at a BASE gate with a wide margin of safety.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wine and spirits divestitures shrink revenue but concentrate the group in its highest-return asset (the Modelo/Corona US licence).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quarter: Q1 FY27 (quarter ended May 31, 2026), reported early Jul 2026 (source: Constellation press release / earnings recap; Yahoo Finance; Drinks Times).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sales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$2.43bn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$2.51bn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−3.3%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Beer net sales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$2.28bn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$2.23bn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Beer depletions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−0.3%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  Modelo Especial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~−2%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  Corona Extra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&gt; −5%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  Pacifico / Victoria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+21% / +14%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Modelo launched its first high-ABV beer (TIKR), an innovation push to offset core-brand declines.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FY27 adjusted EPS $11.20–11.90 (unchanged); reported EPS raised to $11.50–12.20.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Q2 FY27 results due in early October 2026 (the next test of depletion trends).</w:t>
      </w:r>
    </w:p>
    <w:p>
      <w:pPr>
        <w:spacing w:after="100"/>
      </w:pPr>
      <w:r>
        <w:t xml:space="preserve">Price: 52-week closing range $112.77–$166.68 (low 2026-09-29, high 2026-02-04). Returns: 1 month -13.7%, 3 months -18.9%, 12 months -14.9%, 12−1 months -1.4%. Below the 200-day average ($143.76). Consensus: 23 analysts, mean target $163.35 (44.9%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Segments: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Beer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Exclusive US rights to Modelo, Corona, Pacifico, Victoria (brewed in Mexico)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$2.28bn (Q1)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~94%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~39% [EST]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Wine &amp; Spirits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Remaining premium wine/spirits after divestitures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~$0.15bn (Q1)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~6%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(beer is imported from company breweries in Mexico).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Anheuser-Busch InBev, Molson Coors, Heineken, craft/spirits-based RTDs.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TAM stated.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A-CS.</w:t>
      </w:r>
      <w:r>
        <w:t xml:space="preserve"> Consumer staples: beverages (A-CS): FCFF DCF. Valuation anchor: FCFF DCF (Koller).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Stalwart (turning SlowGrower).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FY2023 (02/23) $9.45B → FY2026 (02/26) $9.14B (CAGR -1.1%); diluted EPS FY2023 (02/23) -0.11 → FY2026 (02/26) 9.61 (CAGR –; reported currency). Consensus next-year revenue growth 1.8%.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10.7× trailing on reported (GAAP) profit, 9.2× forward on consensus estimates (yfinance); </w:t>
      </w:r>
      <w:r>
        <w:rPr>
          <w:b/>
          <w:bCs/>
        </w:rPr>
        <w:t xml:space="preserve">8.8× on recurring operating profit after tax</w:t>
      </w:r>
      <w:r>
        <w:t xml:space="preserve"> (TTM), the P/E that excludes investment gains, disposal gains and other one-offs.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PEG: not meaningful (consensus EPS growth 1.9%/yr is below 3% or unavailable).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10.7× trailing / 9.2× forward; revenue CAGR −1.1% (divestitures).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ratio, (NI − OCF) / avg total assets: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Accrual ratio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FY2024 (02/24)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-4.2%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$1.73B, OCF $2.78B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FY2025 (02/25)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-13.7%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−$81M, OCF $3.15B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FY2026 (02/26)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-4.5%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$1.69B, OCF $2.67B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No Sloan flag: earnings are cash-backed at the operating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FY25 GAAP loss (ROE −1.0%) came from wine impairments, a transitory item; operating margin steady at 30–33%.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Accrual ratio −4.5%; FCF/NI 157%.</w:t>
      </w:r>
    </w:p>
    <w:p>
      <w:pPr>
        <w:spacing w:after="100"/>
      </w:pPr>
      <w:r>
        <w:t xml:space="preserve">ROIC (NOPLAT ÷ avg invested capital, equity + debt − cash): 11.7% (FY2024 (02/24)) → 12.9% (FY2025 (02/25)) → 11.1% (FY2026 (02/26)). ROIC ex-goodwill (latest): 15.2%. WACC 7.2%.</w:t>
      </w:r>
    </w:p>
    <w:p>
      <w:pPr>
        <w:spacing w:after="100"/>
      </w:pPr>
      <w:r>
        <w:t xml:space="preserve">Margin trend (FY2023 (02/23)–FY2026 (02/26)): gross 50.5% → 50.4% → 52.1% → 51.6%; operating 30.1% → 32.0% → 33.0% → 31.3%; TTM operating 32.7%.</w:t>
      </w:r>
    </w:p>
    <w:p>
      <w:pPr>
        <w:spacing w:after="100"/>
      </w:pPr>
      <w:r>
        <w:t xml:space="preserve">Dilution: share count 183M → 173M (-1.9%/yr). Last-FY buybacks $924M.</w:t>
      </w:r>
    </w:p>
    <w:p>
      <w:pPr>
        <w:pStyle w:val="Heading2"/>
        <w:spacing w:after="120" w:before="240"/>
      </w:pPr>
      <w:r>
        <w:t xml:space="preserve">5. Valuation — DCF (Koller)</w:t>
      </w:r>
    </w:p>
    <w:p>
      <w:pPr>
        <w:spacing w:after="100"/>
      </w:pPr>
      <w:r>
        <w:t xml:space="preserve">WACC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UST, macro_report_2026-09-29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0.40,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8.42%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 weight D/V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36.8%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market-value weights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WACC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7.16%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floor 7%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10-year explicit FCFF from TTM revenue $9.06B; year-1 growth 1.8% (consensus next-year revenue growth), fading linearly to terminal g + 1pp; operating margin 32.7% (TTM op. margin); tax 26.1%; reinvestment = growth ÷ RONIC (Base RONIC 15.2%); Key-Value-Driver terminal value, g 3.0%. Net debt $11.10B.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1150"/>
        <w:gridCol w:w="1200"/>
        <w:gridCol w:w="1000"/>
        <w:gridCol w:w="1000"/>
        <w:gridCol w:w="1000"/>
        <w:gridCol w:w="888"/>
        <w:gridCol w:w="1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 growth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growth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Op. margin (NOPLAT)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RONIC expl. / terminal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revenue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NOPLAT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@7.2%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@8.7%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Bear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1.2%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2.8%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29.7% (21.9%)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11.4% / 6.2%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$11.05B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$2.42B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$97.20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€85.68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$59.96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1.8%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4.0%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32.7% (24.2%)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15.2% / 15.0%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$12.02B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$2.90B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$184.96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€163.04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$118.81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Bull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2.3%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5.2%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34.7% (25.6%)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19.1% / 15.2%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$13.07B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$3.35B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$219.38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€193.39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$143.01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Terminal value is 56% / 67% / 69% of EV (Bear / Base / Bull), inside Koller's 60–80% band.</w:t>
      </w:r>
    </w:p>
    <w:p>
      <w:pPr>
        <w:spacing w:after="100"/>
      </w:pPr>
      <w:r>
        <w:t xml:space="preserve">Exit-multiple cross-check (Method 2):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Key-Value-Driver terminal implies ~12.8× year-10 EBITDA (Base).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today's EV/EBITDA (9.3×) persisted to year 10, Base would be $138.01 / €121.65 (-25% vs Method 1); the two methods agree within 30%.</w:t>
      </w:r>
    </w:p>
    <w:p>
      <w:pPr>
        <w:spacing w:after="100"/>
      </w:pPr>
      <w:r>
        <w:rPr>
          <w:b/>
          <w:bCs/>
        </w:rPr>
        <w:t xml:space="preserve">MoS Gate: BASE.</w:t>
      </w:r>
      <w:r>
        <w:t xml:space="preserve"> Price ≤ Base value (clears QUALITY).</w:t>
      </w:r>
    </w:p>
    <w:p>
      <w:pPr>
        <w:spacing w:after="100"/>
      </w:pPr>
      <w:r>
        <w:t xml:space="preserve">Sensitivity (Benninga), Base case — WACC × terminal g (value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 \ g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$301.03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$347.82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$416.20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$728.99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6.2%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$212.11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$234.52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$263.99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$363.64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7.2%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$157.72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$169.89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$184.96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$229.30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8.2%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$121.05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$128.13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$136.58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$159.49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Growth multiplier × operating-margin shift (WACC 7.2%,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Growth \ margin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−300bp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−150bp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Base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+200bp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$151.72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$162.67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$173.62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$188.21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$162.02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$173.49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$184.96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$200.25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$173.04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$185.06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$197.09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$213.12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$184.82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$197.44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$210.06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$226.88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WACC 7.2% (beta ~0.8 with 18% debt weight). At 9.2%, Base falls toward ~$140, still above the price (see the grid).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hold the Base margin (32.7%), RONIC and terminal assumptions, and solve for the growth path that makes value = $112.77.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600"/>
        <w:gridCol w:w="25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Multiple of base growth path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5-yr revenue CAGR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 in yr 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5.7%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growth path fits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margin needed 14.9%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6.2%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growth path fits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margin needed 17.7%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7.2%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-0.88×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-2.0%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$8.20B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8.2%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0.02×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$9.07B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Against the base rate: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path (consensus-led) 5-yr CAGR: 2.2%. Mauboussin base rates: companies growing 20–30% typically grow ~12–15% the next year; very few large companies sustain &gt; 15% for a decade.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house WACC the price needs -2.0% vs 2.2%: below the base path → the price assumes less than consensus: positive asymmetry if the business holds.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Beer revenue is roughly flat-to-slightly-up for five years (the price assumes −2% a year).</w:t>
      </w:r>
    </w:p>
    <w:p>
      <w:pPr>
        <w:spacing w:after="100"/>
      </w:pPr>
      <w:r>
        <w:t xml:space="preserve">2. Beer operating margin holds ~37–39% despite tariffs and aluminium costs.</w:t>
      </w:r>
    </w:p>
    <w:p>
      <w:pPr>
        <w:spacing w:after="100"/>
      </w:pPr>
      <w:r>
        <w:t xml:space="preserve">3. No escalation of US tariffs on Mexican beer.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Brands (Modelo, Corona in the US) + distribution; narrow-to-wide; </w:t>
      </w:r>
      <w:r>
        <w:rPr>
          <w:b/>
          <w:bCs/>
        </w:rPr>
        <w:t xml:space="preserve">CAP 7–10y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Brand portfolio plus exclusive US licence for the leading Mexican imports: narrow-to-wide; CAP 7–10 years.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operating margin ~31–33% stable.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none; share count −1.9%/yr.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The Sands family holds ~12.6%.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12.6%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price/Base DCF 0.61, forward P/E 9.2×.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quality sub-score 67/100 (ROIC ex-GW 15.2%, op. margin 32.7%, FCF/NI 157.3%).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Neutral: 12−1 month -1.4%; 3 months -18.9%.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beta 0.40.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overlapping tailwinds from value, quality, low beta.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avg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12% / 13% / 11%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2 consecutive declines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32.7%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3-yr 157%; last FY 106%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9.6%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-1.9%/yr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12.6%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$924M; share count -1.9%/yr; price/Base 0.61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23.9%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8/9 scorable → COMPOUNDER (business). MoS Gate BASE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Portfolio pruning (wine divestitures) raises group quality.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Buybacks at ~0.61× Base: value-accretive.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 debt ~$11bn (~2.8× EBITDA [EST]).</w:t>
      </w:r>
    </w:p>
    <w:p>
      <w:pPr>
        <w:pStyle w:val="Heading2"/>
        <w:spacing w:after="120" w:before="240"/>
      </w:pPr>
      <w:r>
        <w:t xml:space="preserve">10. Sector Appendix — Consumer Staples — Beverages (A-CS)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Beer depletions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−0.3% (Q1 FY27)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Flat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Beer revenue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Price-led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Operating margin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32.7% TTM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conversion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157%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Dividend yield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3.7%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(FY2023 (02/23)–FY2026 (02/26))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 (02/23)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 (02/24)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 (02/25)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FY2026 (02/26)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$9.45B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$9.96B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$10.21B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$9.14B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$9.14B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-10.5%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-10.5%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50.5%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50.4%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52.1%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51.6%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51.6%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34.1%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36.3%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37.3%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35.9%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35.9%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-0.8%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-0.8%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18.5%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22.5%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11.4×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 on operating profit after tax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9.1×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2.1×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3.3×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9.3×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1.29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1.76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1.39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1.39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−$12.83B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−$12.41B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−$12.05B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−$11.10B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−$11.10B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19.6%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 (02/23)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 (02/24)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 (02/25)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FY2026 (02/26)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$1.04B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$1.27B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$1.21B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$875M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$875M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D&amp;A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/ net income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11.1%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Rule of 40 (growth + FCF margin)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183M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183M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178M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173M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173M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31.1%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23.9%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Margins held at ~31–33% through the volume slowdown: pricing power intact, volume is the problem.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~10× prices permanent decline; the price-implied −2% revenue CAGR is below anything in the depletion data so far.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STZ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A-CS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Stalwart (turning SlowGrower)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67 (V 99 / Q 67 / G 4)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$97.20 / $184.96 / $219.38 (€85.68 / €163.04 / €193.39), WACC 7.2%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(8/9)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HEADWIND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Beer depletion volumes down YoY for 3 quarters, OR beer operating margin &lt; 37%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A: Value 40% / Quality 40% / Growth 20%): Value 99, Quality 67, Growth 4 → 67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Beer revenue is roughly flat-to-slightly-up for five years (the price assumes −2% a year).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Beer operating margin holds ~37–39% despite tariffs and aluminium costs.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escalation of US tariffs on Mexican beer.</w:t>
      </w:r>
    </w:p>
    <w:p>
      <w:pPr>
        <w:spacing w:after="100"/>
      </w:pPr>
      <w:r>
        <w:t xml:space="preserve">Single biggest risk: Hispanic consumer weakness, tariffs on Mexican beer, and long-term alcohol decline (incl. GLP-1s).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Depletions falling more than 3% for two quarters, or new tariffs, would push value toward Bear ($97.24 / €86).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Depletions back to +2–3% would support Bull ($219.47).</w:t>
      </w:r>
    </w:p>
    <w:p>
      <w:pPr>
        <w:spacing w:after="100"/>
      </w:pPr>
      <w:r>
        <w:t xml:space="preserve">Sources (Recent Context): Constellation Brands Q1 FY27 earnings recap (cbrands.com); Yahoo Finance; Drinks Times; TIKR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2026-10-03T12:02:56.253Z</dcterms:created>
  <dcterms:modified xsi:type="dcterms:W3CDTF">2026-10-03T12:02:56.253Z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