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TRGP — Targa Resources Corp. — Long-Term Deep-Dive</w:t>
      </w:r>
    </w:p>
    <w:p>
      <w:pPr>
        <w:spacing w:after="100"/>
      </w:pPr>
      <w:r>
        <w:t xml:space="preserve">Date: 2026-09-30 | Price: $273.49 / €241.08 (close Sept 29, 2026, yfinance; EUR/USD 1.134, GBP/USD 1.323) | Shares ~214M | Market cap ~$58.64B | Cash + ST inv. $166M / total debt $17.52B (FY2025) → net debt ~$17.36B | Next earnings: Q3 2026 in early Nov 2026 (date not confirmed)</w:t>
      </w:r>
    </w:p>
    <w:p>
      <w:pPr>
        <w:spacing w:after="100"/>
      </w:pPr>
      <w:r>
        <w:t xml:space="preserve">[FUNDAMENTAL DATA MISSING — TRGP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(6/9 on the Compounder screen); MoS Gate BASE (price $273.49 / €241.08 vs Bear $144.73 / €127.58 / Base $428.08 / €377.35 / Bull $722.70 / €637.06 at a 7.8%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record adjusted EBITDA $1,603m (+38% YoY, +14% QoQ), including ~$250m of H1 marketing outperformance; record Permian volumes 7.2 Bcf/d (+14% YoY). FY26 adjusted EBITDA expected at the top of $5.7–5.9bn; the CEO said 2026 EBITDA growth 'may be close to $1bn'. Dividend increased.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$273.49 (+57% over 12 months) = 0.64× Base $428.08 at a 7.8% WACC. </w:t>
      </w:r>
      <w:r>
        <w:rPr>
          <w:b/>
          <w:bCs/>
        </w:rPr>
        <w:t xml:space="preserve">Low confidence:</w:t>
      </w:r>
      <w:r>
        <w:t xml:space="preserve"> Base assumes the consensus year-1 revenue growth (~25%) that includes commodity-price and marketing effects, and terminal value is ~88% of EV (Benninga flag). Bear ($144.73) to Bull ($722.70) is a very wide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(6/9: ROIC ~14% just below 15%, capex ~20% of revenue, FCF/NI 53% while growth capex runs).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fee-based Permian NGL franchise with visible volume growth; the valuation is more sensitive to growth persistence than the gate suggests.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early Aug 2026 (source: Targa press release; Investing.com transcript; BigGo; StockTitan).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$1,603m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$1,162m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+38% (+14% QoQ)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Permian G&amp;P volumes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 Bcf/d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 Bcf/d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H1 marketing outperformance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~$250m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partly transitory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volumes: +900 MMcf/d YoY, +450 MMcf/d QoQ.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adjusted EBITDA toward the top of $5.7–5.9bn.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increased (amount not retrieved).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beat EPS forecasts; shares rose (Investing.com).</w:t>
      </w:r>
    </w:p>
    <w:p>
      <w:pPr>
        <w:spacing w:after="100"/>
      </w:pPr>
      <w:r>
        <w:t xml:space="preserve">Price: 52-week closing range $146.30–$302.25 (low 2025-10-16, high 2026-08-20). Returns: 1 month -5.0%, 3 months 2.0%, 12 months 57.0%, 12−1 months 65.2%. Above the 200-day average ($246.81). Consensus: 21 analysts, mean target $325.14 (18.9%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Gathering &amp; Processing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Permian (Midland, Delaware) and other basins: gathering, processing plants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~45% of EBITDA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Logistics &amp; Transportation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NGL pipelines (Grand Prix), Mont Belvieu fractionation, LPG export terminal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~55% of EBITDA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Permian and Gulf Coast; LPG exports to global buyers.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Enterprise Products, Energy Transfer, ONEOK, MPLX.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applicable (infrastructure).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A-OG.</w:t>
      </w:r>
      <w:r>
        <w:t xml:space="preserve"> Midstream energy infrastructure (A-OG):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 (infrastructure build-out).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FY2022 $20.93B → FY2025 $17.03B (CAGR -6.6%); diluted EPS FY2022 3.88 → FY2025 8.62984 (CAGR 30.5%; reported currency). Consensus next-year revenue growth 25.6%.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26.1× trailing on reported (GAAP) profit, 22.6× forward on consensus estimates (yfinance); </w:t>
      </w:r>
      <w:r>
        <w:rPr>
          <w:b/>
          <w:bCs/>
        </w:rPr>
        <w:t xml:space="preserve">19.4×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1.38: forward P/E ÷ consensus EPS growth for the current and next fiscal year (16.4%/yr).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26.1× / 22.6× forward; EBITDA growth ~20%; revenue CAGR is negative only because commodity pass-through prices fell.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$828M, OCF $3.21B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$1.27B, OCF $3.65B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-8.7%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$1.84B, OCF $3.92B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is commodity-price-driven (pass-through); EBITDA and volumes are the persistent measures. The ~$250m marketing gain is partly transitory.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−8.7%; FCF/NI 53% (growth capex).</w:t>
      </w:r>
    </w:p>
    <w:p>
      <w:pPr>
        <w:spacing w:after="100"/>
      </w:pPr>
      <w:r>
        <w:t xml:space="preserve">ROIC (NOPLAT ÷ avg invested capital, equity + debt − cash): 14.4% (FY2023) → 13.4% (FY2024) → 14.1% (FY2025). ROIC ex-goodwill (latest): 15.7%. WACC 7.8%.</w:t>
      </w:r>
    </w:p>
    <w:p>
      <w:pPr>
        <w:spacing w:after="100"/>
      </w:pPr>
      <w:r>
        <w:t xml:space="preserve">Margin trend (FY2022–FY2025): gross 14.1% → 25.2% → 26.0% → 29.4%; operating 8.3% → 16.4% → 16.5% → 19.6%; TTM operating 22.9%.</w:t>
      </w:r>
    </w:p>
    <w:p>
      <w:pPr>
        <w:spacing w:after="100"/>
      </w:pPr>
      <w:r>
        <w:t xml:space="preserve">Dilution: share count 226M → 215M (-1.7%/yr). Last-FY buybacks $642M.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0.72,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$16.74B; year-1 growth 25.6% (consensus next-year revenue growth), fading linearly to terminal g + 1pp; operating margin 22.9% (TTM op. margin); tax 21.3%; reinvestment = growth ÷ RONIC (Base RONIC 15.7%); Key-Value-Driver terminal value, g 3.0%. Net debt $17.36B.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@7.8%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@9.3%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17.9%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19.9% (15.7%)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11.7% / 6.8%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$44.47B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$6.97B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$144.73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€127.58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$77.41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22.9% (18.0%)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15.7%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$65.42B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$11.80B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$428.08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€377.35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$269.06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24.9% (19.6%)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19.6% / 15.7%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$94.65B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$18.56B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$722.70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€637.06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$470.56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82% / 88% / 89% of EV (Bear / Base / Bull). Above Benninga's 80% warning.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~9.8×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(15.7×) persisted to year 10, Base would be $699.57 / €616.67 (+63%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$700.88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$794.17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$920.83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$1,386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$497.78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$546.40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$607.76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$796.18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$367.07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$394.72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$428.08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$520.98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$293.12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$312.45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$363.06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7.8%,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$253.84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$279.06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$304.28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$337.91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$361.43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$394.76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$428.08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$472.51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$506.54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$550.79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$595.05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$654.06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$700.95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$759.86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$818.76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$897.30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Year-1 growth uses consensus revenue growth (~25.6%); midstream revenue growth overstates fee-based EBITDA growth. A 12–15% base path would put Base roughly at the current price [EST].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~$17bn (~3× EBITDA).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(22.9%), RONIC and terminal assumptions, and solve for the growth path that makes value = $273.49.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$20.33B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$23.43B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$30.37B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$38.70B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20.8%.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12.7% vs 20.8%: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Permian volumes keep growing ~8–10% a year and new plants fill.</w:t>
      </w:r>
    </w:p>
    <w:p>
      <w:pPr>
        <w:spacing w:after="100"/>
      </w:pPr>
      <w:r>
        <w:t xml:space="preserve">2. EBITDA grows ~13% a year for five years (the price's requirement, 0.61× the consensus-led path).</w:t>
      </w:r>
    </w:p>
    <w:p>
      <w:pPr>
        <w:spacing w:after="100"/>
      </w:pPr>
      <w:r>
        <w:t xml:space="preserve">3. Growth capex falls after the build-out so FCF conversion rises.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(Permian gathering &amp; processing, NGL logistics); narrow-to-wide;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(Permian gathering footprint plus integrated NGL chain to Mont Belvieu): narrow-to-wide;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8.3% (FY22) → 22.9% TTM.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−1.7%/yr.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1.4%.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1.4%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0.64, forward P/E 22.6×.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48/100 (ROIC ex-GW 15.7%, op. margin 22.9%, FCF/NI 53.2%).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65.2%; 3 months 2.0%.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0.72.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14% / 13% / 14%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53%; last FY 32%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-1.7%/yr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$642M; share count -1.7%/yr; price/Base 0.64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6.5%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heavy growth capex (~20% of revenue) at ~14% ROIC, above the 7.8% WACC.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 + rising dividend.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~3× EBITDA, investment grade.</w:t>
      </w:r>
    </w:p>
    <w:p>
      <w:pPr>
        <w:pStyle w:val="Heading2"/>
        <w:spacing w:after="120" w:before="240"/>
      </w:pPr>
      <w:r>
        <w:t xml:space="preserve">10. Sector Appendix — Energy — Midstream (A-OG)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EBITDA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+38%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Permian volumes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 Bcf/d (+14%)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FY26 EBITDA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 of $5.7–5.9bn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Raised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Leverage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~3× EBITDA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WACC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$20.93B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$16.06B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$16.38B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$17.03B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$17.03B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−$11.35B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−$12.87B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−$14.11B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−$17.36B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−$17.36B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$2.39B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$2.97B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is steady at ~14% while capital deployed grows: value-creating growth (ROIC &gt;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+57% 12-month move shows the market already rewards the volume growth; the DCF gap is mostly the growth-rate assumption.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TRGP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A-OG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 (infrastructure build-out)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 (V 77 / Q 48 / G 65)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$144.73 / $428.08 / $722.70 (€127.58 / €377.35 / €637.06), WACC 7.8%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Permian inlet volumes down YoY, OR leverage &gt; 4×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77, Quality 48, Growth 65 → 63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Permian volumes keep growing ~8–10% a year and new plants fill.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EBITDA grows ~13% a year for five years (the price's requirement, 0.61× the consensus-led path).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capex falls after the build-out so FCF conversion rises.</w:t>
      </w:r>
    </w:p>
    <w:p>
      <w:pPr>
        <w:spacing w:after="100"/>
      </w:pPr>
      <w:r>
        <w:t xml:space="preserve">Single biggest risk: Permian volume growth slowdown; commodity-linked fees.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Permian volumes flattening, or oil below ~$60, would push value toward Bear ($144.73 / €128).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Fee-based EBITDA growth of ~15%+ through 2028 would validate Base.</w:t>
      </w:r>
    </w:p>
    <w:p>
      <w:pPr>
        <w:spacing w:after="100"/>
      </w:pPr>
      <w:r>
        <w:t xml:space="preserve">Sources (Recent Context): Targa Q2 2026 results (StockTitan / QuiverQuant); Investing.com Q2 transcript; BigGo Finance; Motley Fool Q2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2026-10-03T12:02:56.376Z</dcterms:created>
  <dcterms:modified xsi:type="dcterms:W3CDTF">2026-10-03T12:02:56.376Z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