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UNI.MI — Unipol Assicurazioni S.p.A. — Long-Term Deep-Dive</w:t>
      </w:r>
    </w:p>
    <w:p>
      <w:pPr>
        <w:spacing w:after="100"/>
      </w:pPr>
      <w:r>
        <w:t xml:space="preserve">Date: 2026-09-30 | Price: €27.21 (close Sept 29, 2026, yfinance; EUR/USD 1.134, GBP/USD 1.323) | Shares ~717M | Market cap ~€19.52B | Book equity €10.39B (FY2025), BV/share €14.49 | Next earnings: 9M 2026 results in Nov 2026 (date not confirmed)</w:t>
      </w:r>
    </w:p>
    <w:p>
      <w:pPr>
        <w:spacing w:after="100"/>
      </w:pPr>
      <w:r>
        <w:t xml:space="preserve">[FUNDAMENTAL DATA MISSING — UNI.MI is not in ./data/fundamental_data.json. Figures come from yfinance statements (FY2022–FY2025), company releases and press coverage cited in §0; valuation uses the same engine as LT_SCREEN_2026-09-29 (FCFF / excess-return model, market-specific risk-free rates).]</w:t>
      </w:r>
    </w:p>
    <w:p>
      <w:pPr>
        <w:spacing w:after="100"/>
      </w:pPr>
      <w:r>
        <w:t xml:space="preserve">Macro backdrop (data/daily_macro_report/macro_report_2026-09-29.md; data/macro_regime.json):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REFLATION → stagflation-lite (macro_report_2026-09-29). ECB hiked Sept 10 (depo 2.50%); EZ CPI 3.3%.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BTP-Bund pierced 100bp intraday (BTP 10Y ~4.60%, &gt;3-year high); OAT-Bund 119bp; CAC 40 is the only major index below its MA200.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EUR/USD 1.134 (−2.4% over 20 days). US 10Y 5.27% anchors global discount rates.</w:t>
      </w:r>
    </w:p>
    <w:p>
      <w:pPr>
        <w:spacing w:after="100"/>
      </w:pPr>
      <w:r>
        <w:rPr>
          <w:b/>
          <w:bCs/>
        </w:rPr>
        <w:t xml:space="preserve">Bottom line up front: QUALITY. Business QUALITY (4/6 on the Compounder screen); MoS Gate BASE (price €27.21 vs Bear €17.02 / Base €27.85 / Bull €37.45 at a 8.1% cost of equity).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H1 2026: consolidated net profit €913m (+46.8% vs €622m); €1.056bn (+42%) including BPER's full-semester contribution. Group combined ratio 91.8% (from 92.7%); Non-Auto 88.3%, Health 86.6%. Solvency 259% (consolidated), 290% (insurance group).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Deep-Dive refinement:</w:t>
      </w:r>
      <w:r>
        <w:t xml:space="preserve"> the screen's 19.7% normalised ROE is lifted by TTM earnings that include BPER consolidation effects and one-off investment gains (Italian coverage attributes part of Q2 profit to a SpaceX-related gain). This report uses a 15% ROE.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 that basis Base is €27.85 vs a €27.21 price: the gate still clears, but only just → QUALITY with a thin margin of safety.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Italy's sovereign spread (BTP-Bund &gt; 100bp intraday on Sept 29) is the macro risk: Italian insurers hold large BTP portfolios.</w:t>
      </w:r>
    </w:p>
    <w:p>
      <w:pPr>
        <w:pStyle w:val="Heading2"/>
        <w:spacing w:after="120" w:before="240"/>
      </w:pPr>
      <w:r>
        <w:t xml:space="preserve">0. Recent Context</w:t>
      </w:r>
    </w:p>
    <w:p>
      <w:pPr>
        <w:spacing w:after="100"/>
      </w:pPr>
      <w:r>
        <w:t xml:space="preserve">Last reported period: H1 2026 (Jun 30, 2026), reported Aug 2026 (source: Unipol press release; Insurzine; TuttoIntermediari; SoldiOnline; Economia-Italia).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2200"/>
        <w:gridCol w:w="2238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Metric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Latest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Prior-year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Δ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Consolidated net profit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€913m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€622m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+46.8%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Net profit incl. BPER full semester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€1,056m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€744m [derived]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+42%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Combined ratio (group)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91.8%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92.7%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−0.9pts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Loss ratio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63.9%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65.2%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−1.3pts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Solvency ratio (consolidated)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259%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230% (Dec 2025)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+29pts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Non-Auto combined ratio 88.3% (−3pts); Health 86.6% (−3pts).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Economia-Italia notes record insurance margins and profits 'inflated by SpaceX' (a one-off investment gain; amount not retrieved).</w:t>
      </w:r>
    </w:p>
    <w:p>
      <w:pPr>
        <w:spacing w:after="100"/>
      </w:pPr>
      <w:r>
        <w:t xml:space="preserve">Guidance / outlook: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2025–27 strategic plan targets (not re-verified this pass).</w:t>
      </w:r>
    </w:p>
    <w:p>
      <w:pPr>
        <w:spacing w:after="100"/>
      </w:pPr>
      <w:r>
        <w:t xml:space="preserve">Recent news (trailing ~90 days):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BTP-Bund spread widening (macro report, Sept 29, 2026) is a mark-to-market headwind for Italian financials.</w:t>
      </w:r>
    </w:p>
    <w:p>
      <w:pPr>
        <w:spacing w:after="100"/>
      </w:pPr>
      <w:r>
        <w:t xml:space="preserve">Price: 52-week closing range €18.10–€29.23 (low 2025-10-17, high 2026-08-17). Returns: 1 month -3.6%, 3 months 3.9%, 12 months 49.0%, 12−1 months 54.5%. Above the 200-day average (€23.09). Consensus: 5 analysts, mean target €31.50 (15.8% vs price).</w:t>
      </w:r>
    </w:p>
    <w:p>
      <w:pPr>
        <w:pStyle w:val="Heading2"/>
        <w:spacing w:after="120" w:before="240"/>
      </w:pPr>
      <w:r>
        <w:t xml:space="preserve">1. Business Overview</w:t>
      </w:r>
    </w:p>
    <w:p>
      <w:pPr>
        <w:spacing w:after="100"/>
      </w:pPr>
      <w:r>
        <w:t xml:space="preserve">Segments: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38"/>
        <w:gridCol w:w="1200"/>
        <w:gridCol w:w="900"/>
        <w:gridCol w:w="1200"/>
        <w:gridCol w:w="110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Segment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What it does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Revenue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Share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Profit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Margin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Non-Life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Motor (UnipolSai heritage), property, health (UniSalute), corporate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~75% of premiums [EST]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CR 91.8%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Life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Savings, protection, pensions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~25% [EST]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Bancassurance / holdings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Stakes in BPER Banca (consolidated) and Banca Popolare di Sondrio; real estate, hotels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Principal markets: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Italy (market leader in motor and Non-Life).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Competitors: Generali, Allianz Italia, Poste Vita, Axa Italia.</w:t>
      </w:r>
    </w:p>
    <w:p>
      <w:pPr>
        <w:spacing w:after="100"/>
      </w:pPr>
      <w:r>
        <w:t xml:space="preserve">TAM: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TAM stated.</w:t>
      </w:r>
    </w:p>
    <w:p>
      <w:pPr>
        <w:pStyle w:val="Heading2"/>
        <w:spacing w:after="120" w:before="240"/>
      </w:pPr>
      <w:r>
        <w:t xml:space="preserve">2. Routing</w:t>
      </w:r>
    </w:p>
    <w:p>
      <w:pPr>
        <w:spacing w:after="100"/>
      </w:pPr>
      <w:r>
        <w:rPr>
          <w:b/>
          <w:bCs/>
        </w:rPr>
        <w:t xml:space="preserve">Track A-IN.</w:t>
      </w:r>
      <w:r>
        <w:t xml:space="preserve"> Italian composite insurer with bank stakes (A-IN): excess-return model. Valuation anchor: excess-return / residual income on book.</w:t>
      </w:r>
    </w:p>
    <w:p>
      <w:pPr>
        <w:pStyle w:val="Heading2"/>
        <w:spacing w:after="120" w:before="240"/>
      </w:pPr>
      <w:r>
        <w:t xml:space="preserve">3. Categorization (Lynch)</w:t>
      </w:r>
    </w:p>
    <w:p>
      <w:pPr>
        <w:spacing w:after="100"/>
      </w:pPr>
      <w:r>
        <w:rPr>
          <w:b/>
          <w:bCs/>
        </w:rPr>
        <w:t xml:space="preserve">Stalwart.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Revenue FY2022 €10.00B → FY2025 €13.71B (CAGR 11.1%); diluted EPS FY2022 0.73 → FY2025 2.072252 (CAGR 41.6%; reported currency). Consensus next-year revenue growth 3.4%.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P/E 11.4× trailing on reported (GAAP) profit, 12.0× forward on consensus estimates (yfinance).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PEG ≈ 2.12: forward P/E ÷ consensus EPS growth for the current and next fiscal year (5.7%/yr). Lynch: below 1 = growth is cheap, around 1 = fair, above 2 = expensive. Past growth spikes are not used.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P/E 11.4× trailing / 12.0× forward; dividend yield ~4.2%.</w:t>
      </w:r>
    </w:p>
    <w:p>
      <w:pPr>
        <w:pStyle w:val="Heading2"/>
        <w:spacing w:after="120" w:before="240"/>
      </w:pPr>
      <w:r>
        <w:t xml:space="preserve">4. Earnings Quality (Penman)</w:t>
      </w:r>
    </w:p>
    <w:p>
      <w:pPr>
        <w:spacing w:after="100"/>
      </w:pPr>
      <w:r>
        <w:t xml:space="preserve">Accrual ratio: not meaningful for a balance-sheet business (operating cash flow includes client/policyholder funds and loan/investment flows). Earnings quality is read through normalised ROE and the unusual-item split instead.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Transitory: BPER consolidation effects and one-off investment gains in TTM earnings; the persistent core is the 91.8% combined ratio in Non-Life.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3-yr ROE ~14% (14.8% → 12.1% → 14.8%).</w:t>
      </w:r>
    </w:p>
    <w:p>
      <w:pPr>
        <w:spacing w:after="100"/>
      </w:pPr>
      <w:r>
        <w:t xml:space="preserve">ROE on book (ex-unusual items where applicable): 19.9% (FY2023) → 18.8% (FY2024) → 20.4% (FY2025); normalised (3-yr + TTM) 15.0%. Cost of equity 8.1%.</w:t>
      </w:r>
    </w:p>
    <w:p>
      <w:pPr>
        <w:spacing w:after="100"/>
      </w:pPr>
      <w:r>
        <w:t xml:space="preserve">Dilution: share count 716M → 715M (-0.1%/yr). Last-FY buybacks €0M.</w:t>
      </w:r>
    </w:p>
    <w:p>
      <w:pPr>
        <w:pStyle w:val="Heading2"/>
        <w:spacing w:after="120" w:before="240"/>
      </w:pPr>
      <w:r>
        <w:t xml:space="preserve">5. Valuation — Excess-Return Model (Koller/Penman, financials)</w:t>
      </w:r>
    </w:p>
    <w:p>
      <w:pPr>
        <w:spacing w:after="100"/>
      </w:pPr>
      <w:r>
        <w:t xml:space="preserve">Cost of equity construction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5438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Input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Value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Note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Risk-free rate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4.60%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BTP 10Y, macro report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Equity risk premium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5.0%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Agent calibration (Damodaran implied)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Beta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0.70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yfinance raw 0.59, clipped to 0.7–1.4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Cost of equity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8.10%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rf + β × ERP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Model: value = book value + PV of (ROE − cost of equity) × book over 10 years, ROE fading linearly from the starting level to a terminal level, then a residual-income perpetuity (g 2.5%). Book value/share €14.49 (P/B 1.88×, P/TBV 2.52×); normalised ROE 15.0% (ROE on book (ex-unusual items)); book growth from retention 8.0%/yr (payout ≈ 47%).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15% = 3-yr ROE (~14%) plus modest improvement; the normalised 19.7% is lifted by TTM earnings that include BPER consolidation and one-off investment gains [assumption]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300"/>
        <w:gridCol w:w="1300"/>
        <w:gridCol w:w="1200"/>
        <w:gridCol w:w="1500"/>
        <w:gridCol w:w="1500"/>
        <w:gridCol w:w="1538"/>
      </w:tblGrid>
      <w:tr>
        <w:trPr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Scenario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Starting ROE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Terminal ROE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Terminal g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Value @8.1%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€</w:t>
            </w:r>
          </w:p>
        </w:tc>
        <w:tc>
          <w:tcPr>
            <w:tcW w:type="dxa" w:w="1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Value @9.6%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Bear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12.0%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8.1%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2.0%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€17.02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€17.02</w:t>
            </w:r>
          </w:p>
        </w:tc>
        <w:tc>
          <w:tcPr>
            <w:tcW w:type="dxa" w:w="1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€15.97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Base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15.0%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11.5%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2.5%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€27.85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€27.85</w:t>
            </w:r>
          </w:p>
        </w:tc>
        <w:tc>
          <w:tcPr>
            <w:tcW w:type="dxa" w:w="1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€24.39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Bull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17.0%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14.8%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2.5%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€37.45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€37.45</w:t>
            </w:r>
          </w:p>
        </w:tc>
        <w:tc>
          <w:tcPr>
            <w:tcW w:type="dxa" w:w="1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€31.75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b/>
          <w:bCs/>
        </w:rPr>
        <w:t xml:space="preserve">MoS Gate: BASE.</w:t>
      </w:r>
    </w:p>
    <w:p>
      <w:pPr>
        <w:spacing w:after="100"/>
      </w:pPr>
      <w:r>
        <w:t xml:space="preserve">Sensitivity (Benninga) — cost of equity × terminal ROE (starting ROE held at the normalised level; value per share):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38"/>
        <w:gridCol w:w="1925"/>
        <w:gridCol w:w="1925"/>
        <w:gridCol w:w="1925"/>
        <w:gridCol w:w="1925"/>
      </w:tblGrid>
      <w:tr>
        <w:trPr>
          <w:tblHeader/>
        </w:trP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Ke \ terminal ROE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8.1%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9.8%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11.5%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15.0%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6.1%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€20.69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€28.26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€35.82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€50.96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7.1%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€19.81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€25.46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€31.11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€42.42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8.1%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€18.98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€23.42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€27.85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€36.73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9.1%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€18.21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€21.81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€25.41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€32.61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Cost of equity 8.1% (BTP 4.60% + 0.7 × 5%). At 9.1%, Base falls below the price. The gate depends on the Italian spread not widening further.</w:t>
      </w:r>
    </w:p>
    <w:p>
      <w:pPr>
        <w:pStyle w:val="Heading2"/>
        <w:spacing w:after="120" w:before="240"/>
      </w:pPr>
      <w:r>
        <w:t xml:space="preserve">6. Mauboussin — Price-Implied Expectations</w:t>
      </w:r>
    </w:p>
    <w:p>
      <w:pPr>
        <w:spacing w:after="100"/>
      </w:pPr>
      <w:r>
        <w:t xml:space="preserve">What the price needs: solve for the sustained starting ROE (fading halfway to the cost of equity) that makes value = price.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38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Cost of equity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Implied starting ROE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vs normalised ROE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6.6%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11.6%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15.0%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7.1%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12.6%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15.0%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8.1%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14.7%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15.0%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9.1%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16.7%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15.0%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At a 8.1% cost of equity the price needs ~14.7% ROE vs 15.0% normalised: ≈ normalised returns — fair.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Base rate: only ~20% of companies sustaining ROE/ROIC &gt; 20% keep it for 10+ years; underwriting and credit cycles mean-revert faster than that.</w:t>
      </w:r>
    </w:p>
    <w:p>
      <w:pPr>
        <w:spacing w:after="100"/>
      </w:pPr>
      <w:r>
        <w:t xml:space="preserve">What has to be true:</w:t>
      </w:r>
    </w:p>
    <w:p>
      <w:pPr>
        <w:spacing w:after="100"/>
      </w:pPr>
      <w:r>
        <w:t xml:space="preserve">1. ROE of ~14.7%+ sustained (the price's requirement).</w:t>
      </w:r>
    </w:p>
    <w:p>
      <w:pPr>
        <w:spacing w:after="100"/>
      </w:pPr>
      <w:r>
        <w:t xml:space="preserve">2. BTP-Bund stays well below the 200bp stress line.</w:t>
      </w:r>
    </w:p>
    <w:p>
      <w:pPr>
        <w:spacing w:after="100"/>
      </w:pPr>
      <w:r>
        <w:t xml:space="preserve">3. Non-Life margins hold as Italian motor pricing softens.</w:t>
      </w:r>
    </w:p>
    <w:p>
      <w:pPr>
        <w:spacing w:after="100"/>
      </w:pPr>
      <w:r>
        <w:t xml:space="preserve">Moat and CAP: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Italian P&amp;C scale (bancassurance via BPER/Popolare di Sondrio); narrow; </w:t>
      </w:r>
      <w:r>
        <w:rPr>
          <w:b/>
          <w:bCs/>
        </w:rPr>
        <w:t xml:space="preserve">CAP 5–7y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Italian Non-Life scale plus bancassurance distribution (BPER, Popolare di Sondrio): narrow; CAP 5–7 years.</w:t>
      </w:r>
    </w:p>
    <w:p>
      <w:pPr>
        <w:pStyle w:val="Heading2"/>
        <w:spacing w:after="120" w:before="240"/>
      </w:pPr>
      <w:r>
        <w:t xml:space="preserve">7. Fisher — Qualitative Checklist (points the data speaks to)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#5/#6 Margins: combined ratio improving.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#13 Equity financing: none (share count flat).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#15 Controlled by a shareholder pact of cooperatives (the 47.6% 'insider' figure); governance is concentrated.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#15 Management alignment: insiders hold 47.6% of shares (yfinance aggregate).</w:t>
      </w:r>
    </w:p>
    <w:p>
      <w:pPr>
        <w:pStyle w:val="Heading2"/>
        <w:spacing w:after="120" w:before="240"/>
      </w:pPr>
      <w:r>
        <w:t xml:space="preserve">8. Ilmanen — Factor Read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38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Factor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Read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Value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Partial: price/Base DCF 0.98, forward P/E 12.0×.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Quality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Present: quality sub-score 76/100 (normalised ROE 15.0%).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Momentum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Present: 12−1 month 54.5%; 3 months 3.9%.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Low beta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Present: beta 0.59.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Net: overlapping tailwinds from quality, momentum, low beta.</w:t>
      </w:r>
    </w:p>
    <w:p>
      <w:pPr>
        <w:pStyle w:val="Heading2"/>
        <w:spacing w:after="120" w:before="240"/>
      </w:pPr>
      <w:r>
        <w:t xml:space="preserve">9. Quality Compounder Screen (Framework 8)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5838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Criterion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Result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Evidence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ROE avg &gt; 15% (fin. proxy)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FAIL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15% / 12% / 15%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ROE trend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2 consecutive declines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Op. margin &gt; 15%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n/a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FCF/NI &gt; 80%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n/a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n/a (balance-sheet business)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CapEx/Rev &lt; 10%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n/a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n/a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Self-funded (dilution ≤ 1%/yr)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share count -0.1%/yr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Insider ownership &gt; 0.5%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47.6% aggregate insiders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Buybacks at/below value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FAIL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last-FY buybacks €0M; share count -0.1%/yr; price/Base 0.98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Goodwill &lt; 40% of assets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goodwill 2.1% of assets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b/>
          <w:bCs/>
        </w:rPr>
        <w:t xml:space="preserve">4/6 scorable → QUALITY (business). MoS Gate BASE → QUALITY at today's price.</w:t>
      </w:r>
    </w:p>
    <w:p>
      <w:pPr>
        <w:spacing w:after="100"/>
      </w:pPr>
      <w:r>
        <w:t xml:space="preserve">Capital allocation (Thorndike):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Capital allocation: complex group structure simplified (UnipolSai merger 2024); bank stakes add non-insurance risk.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Dividends: ~4%; no buybacks.</w:t>
      </w:r>
    </w:p>
    <w:p>
      <w:pPr>
        <w:pStyle w:val="Heading2"/>
        <w:spacing w:after="120" w:before="240"/>
      </w:pPr>
      <w:r>
        <w:t xml:space="preserve">10. Sector Appendix — Insurance — Composite, Italy (A-IN)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700"/>
        <w:gridCol w:w="3338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Metric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Current value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Read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Combined ratio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91.8% (H1 2026)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Good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Solvency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259% / 290%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Very strong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ROE (used)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15% (3-yr ~14%)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Adequate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P/B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1.88×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≈ refined Base-implied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Sovereign exposure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BTP-heavy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Macro risk</w:t>
            </w:r>
          </w:p>
        </w:tc>
      </w:tr>
    </w:tbl>
    <w:p>
      <w:pPr>
        <w:spacing w:after="60"/>
      </w:pPr>
    </w:p>
    <w:p>
      <w:pPr>
        <w:pStyle w:val="Heading2"/>
        <w:spacing w:after="120" w:before="240"/>
      </w:pPr>
      <w:r>
        <w:t xml:space="preserve">11. Five-Year Ratio Trend Analysis</w:t>
      </w:r>
    </w:p>
    <w:p>
      <w:pPr>
        <w:spacing w:after="100"/>
      </w:pPr>
      <w:r>
        <w:t xml:space="preserve">4 fiscal years available from yfinance (FY2022–FY2025) — fewer than five; not padded. Historical multiples use the fiscal-year-end share price; the last column uses the Sept 29, 2026 price on the latest fiscal-year fundamentals. EBITDA = operating income + D&amp;A. Amounts in the listing currency (converted from reporting currency where different).</w:t>
      </w:r>
    </w:p>
    <w:p>
      <w:pPr>
        <w:pStyle w:val="Heading3"/>
        <w:spacing w:after="80" w:before="160"/>
      </w:pPr>
      <w:r>
        <w:t xml:space="preserve">Base Ratio Table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38"/>
        <w:gridCol w:w="1540"/>
        <w:gridCol w:w="1540"/>
        <w:gridCol w:w="1540"/>
        <w:gridCol w:w="1540"/>
        <w:gridCol w:w="1540"/>
      </w:tblGrid>
      <w:tr>
        <w:trPr>
          <w:tblHeader/>
        </w:trP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Metric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FY2022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FY2023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FY2024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FY2025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Current price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Revenue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€10.00B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€12.41B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€13.18B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€13.71B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€13.71B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Revenue growth YoY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24.1%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6.2%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4.1%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4.1%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Gross margin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EBITDA margin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Net margin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5.2%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8.9%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8.0%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10.6%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10.6%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ROE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14.8%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12.1%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14.8%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14.8%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P/E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6.2×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3.4×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8.2×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10.1×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13.4×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P/S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0.3×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0.3×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0.7×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1.1×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1.4×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P/B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0.5×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0.5×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0.9×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1.4×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1.9×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EV/Revenue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EV/EBITDA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Debt/Equity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0.67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0.63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0.60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0.48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0.48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Net cash / (net debt)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FCF margin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</w:t>
            </w:r>
          </w:p>
        </w:tc>
      </w:tr>
    </w:tbl>
    <w:p>
      <w:pPr>
        <w:spacing w:after="60"/>
      </w:pPr>
    </w:p>
    <w:p>
      <w:pPr>
        <w:pStyle w:val="Heading3"/>
        <w:spacing w:after="80" w:before="160"/>
      </w:pPr>
      <w:r>
        <w:t xml:space="preserve">Sector-Specific Ratio Table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38"/>
        <w:gridCol w:w="1540"/>
        <w:gridCol w:w="1540"/>
        <w:gridCol w:w="1540"/>
        <w:gridCol w:w="1540"/>
        <w:gridCol w:w="1540"/>
      </w:tblGrid>
      <w:tr>
        <w:trPr>
          <w:tblHeader/>
        </w:trP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Metric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FY2022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FY2023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FY2024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FY2025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Current price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Book value / share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€9.58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€11.12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€13.02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€14.53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€14.53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P/TBV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0.7×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0.7×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1.3×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1.9×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2.5×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Buybacks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Diluted EPS (reported ccy)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0.73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1.54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1.50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2.07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2.07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Shares outstanding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716M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717M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716M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715M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715M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Goodwill / assets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2.4%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2.4%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2.3%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2.1%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2.1%</w:t>
            </w:r>
          </w:p>
        </w:tc>
      </w:tr>
    </w:tbl>
    <w:p>
      <w:pPr>
        <w:spacing w:after="60"/>
      </w:pPr>
    </w:p>
    <w:p>
      <w:pPr>
        <w:pStyle w:val="Heading3"/>
        <w:spacing w:after="80" w:before="160"/>
      </w:pPr>
      <w:r>
        <w:t xml:space="preserve">Interpretation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Profit growth (+47%) far outpaces premium growth: consolidation and investment gains, not underwriting, explain most of 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At a thin margin to Base, this is QUALITY only in name; it needs the BTP spread to cooperate.</w:t>
      </w:r>
    </w:p>
    <w:p>
      <w:pPr>
        <w:pStyle w:val="Heading2"/>
        <w:spacing w:after="120" w:before="240"/>
      </w:pPr>
      <w:r>
        <w:t xml:space="preserve">12. Final Verdict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650"/>
        <w:gridCol w:w="800"/>
        <w:gridCol w:w="900"/>
        <w:gridCol w:w="800"/>
        <w:gridCol w:w="1300"/>
        <w:gridCol w:w="700"/>
        <w:gridCol w:w="900"/>
        <w:gridCol w:w="750"/>
        <w:gridCol w:w="600"/>
        <w:gridCol w:w="1678"/>
      </w:tblGrid>
      <w:tr>
        <w:trPr>
          <w:tblHeader/>
        </w:trP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TICKER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Track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Category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F-Score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F-Rating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DCF Bear-Base-Bull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MoS Gate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Compounder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AI Impact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Horizon</w:t>
            </w:r>
          </w:p>
        </w:tc>
        <w:tc>
          <w:tcPr>
            <w:tcW w:type="dxa" w:w="1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Thesis Invalidation</w:t>
            </w:r>
          </w:p>
        </w:tc>
      </w:tr>
      <w:t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UNI.MI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A-IN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Stalwart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70 (V 74 / Q 76 / G 51)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Undervalued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€17.02 / €27.85 / €37.45 (€17.02 / €27.85 / €37.45), cost of equity 8.1%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BASE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QUALITY (4/6)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NEUTRAL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3–5yr</w:t>
            </w:r>
          </w:p>
        </w:tc>
        <w:tc>
          <w:tcPr>
            <w:tcW w:type="dxa" w:w="1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Combined ratio &gt; 95%, OR Solvency II &lt; 180%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F-Score detail (Track A: Value 40% / Quality 40% / Growth 20%): Value 74, Quality 76, Growth 51 → 70 (Undervalued).</w:t>
      </w:r>
    </w:p>
    <w:p>
      <w:pPr>
        <w:spacing w:after="100"/>
      </w:pPr>
      <w:r>
        <w:t xml:space="preserve">What has to be true: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ROE of ~14.7%+ sustained (the price's requirement).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BTP-Bund stays well below the 200bp stress line.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Non-Life margins hold as Italian motor pricing softens.</w:t>
      </w:r>
    </w:p>
    <w:p>
      <w:pPr>
        <w:spacing w:after="100"/>
      </w:pPr>
      <w:r>
        <w:t xml:space="preserve">Single biggest risk: Italian sovereign exposure; Italian motor pricing.</w:t>
      </w:r>
    </w:p>
    <w:p>
      <w:pPr>
        <w:spacing w:after="100"/>
      </w:pPr>
      <w:r>
        <w:t xml:space="preserve">What would most change the verdict: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BTP-Bund above 150bp, or ROE back to ~12%, would push value toward Bear (€17.02).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Sustained 16%+ ROE ex one-offs would support Bull (€37.45).</w:t>
      </w:r>
    </w:p>
    <w:p>
      <w:pPr>
        <w:spacing w:after="100"/>
      </w:pPr>
      <w:r>
        <w:t xml:space="preserve">Sources (Recent Context): Unipol H1 2026 press release (unipol.com); Insurzine, Aug 11 2026; TuttoIntermediari; SoldiOnline; Economia-Italia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  <w:lvl w:ilvl="1" w15:tentative="1">
      <w:start w:val="1"/>
      <w:numFmt w:val="bullet"/>
      <w:lvlText w:val="–"/>
      <w:lvlJc w:val="left"/>
      <w:pPr>
        <w:ind w:left="7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2026-10-03T12:02:56.478Z</dcterms:created>
  <dcterms:modified xsi:type="dcterms:W3CDTF">2026-10-03T12:02:56.478Z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