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WTW — Willis Towers Watson Public Limited Company — Long-Term Deep-Dive</w:t>
      </w:r>
    </w:p>
    <w:p>
      <w:pPr>
        <w:spacing w:after="100"/>
      </w:pPr>
      <w:r>
        <w:t xml:space="preserve">Date: 2026-09-30 | Price: $288.57 / €254.37 (close Sept 29, 2026, yfinance; EUR/USD 1.134, GBP/USD 1.323) | Shares ~93M | Market cap ~$26.80B | Cash + ST inv. $3.17B / total debt $6.90B (FY2025) → net debt ~$3.74B | Next earnings: Q3 2026 in late Oct 2026 (date not confirmed)</w:t>
      </w:r>
    </w:p>
    <w:p>
      <w:pPr>
        <w:spacing w:after="100"/>
      </w:pPr>
      <w:r>
        <w:t xml:space="preserve">[FUNDAMENTAL DATA MISSING — WTW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(7/9 on the Compounder screen); MoS Gate BASE (price $288.57 / €254.37 vs Bear $235.11 / €207.25 / Base $387.74 / €341.79 / Bull $497.27 / €438.34 at a 7.9%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revenue $2.47B, organic growth 5% (led by Health, Wealth &amp; Career and Risk &amp; Broking), adjusted operating margin 19.5% (+100bp), adjusted EPS $3.35 (+17%). GAAP EPS $2.43 vs $3.32 a year earlier.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'Propel' AI-acceleration plan targets ~30% adjusted operating margin by 2028; FY26 guidance reaffirmed.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$288.57 = 0.74× Base $387.74 (€341.79) at a 7.9% WACC. The market prices ~1% 5-yr revenue growth, far below the ~5% organic run-rate: </w:t>
      </w:r>
      <w:r>
        <w:rPr>
          <w:b/>
          <w:bCs/>
        </w:rPr>
        <w:t xml:space="preserve">clear positive asymmetry if organic growth holds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7/9 (fails 5-yr ROIC &gt; 15% because of acquisition goodwill, 10.7% → 15.9%; ROIC ex-goodwill 63%). Price above Bear ($235.11) → QUALITY.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late Jul 2026 (source: WTW press release / 8-K; Yahoo Finance; TradingView 10-Q summary).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$2.47B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organic +5%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operating margin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18.5%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+100bp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$3.35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$2.86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+17%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GAAP diluted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$2.43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$3.32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−27%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The GAAP decline vs the adjusted increase reflects non-operating items (transformation/Propel charges; detail not retrieved).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guidance reaffirmed (figures not retrieved).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Propel plan: ~30% adjusted operating margin targeted for 2028 (from ~23–24% for FY25–TTM on the GAAP operating basis used here).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Propel AI acceleration plan announced with Q2 results; restructuring costs will depress GAAP earnings near term.</w:t>
      </w:r>
    </w:p>
    <w:p>
      <w:pPr>
        <w:spacing w:after="100"/>
      </w:pPr>
      <w:r>
        <w:t xml:space="preserve">Price: 52-week closing range $242.12–$350.75 (low 2026-05-13, high 2026-08-24). Returns: 1 month -16.1%, 3 months 10.4%, 12 months -15.6%, 12−1 months 0.5%. Below the 200-day average ($299.36). Consensus: 19 analysts, mean target $378.58 (31.2%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Health, Wealth &amp; Career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Benefits, retirement, actuarial consulting, benefits delivery and administration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 &amp; Broking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Corporate risk and insurance broking, insurance consulting &amp; technology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Shares indicative; TRANZACT was divested in 2024–25 (details not re-verified).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Global: ~50% North America, ~30% Europe/GB, rest international.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Marsh McLennan (Mercer), Aon, Gallagher; consulting from Mercer, Aon, Lockton.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Insurance broking and HR/benefits consulting (A-IN, fee-based, capital-light):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FY2022 $8.87B → FY2025 $9.71B (CAGR 3.1%); diluted EPS FY2022 8.98 → FY2025 16.26 (CAGR 21.9%; reported currency). Consensus next-year revenue growth 5.1%.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17.9× trailing on reported (GAAP) profit, 12.6× forward on consensus estimates (yfinance); </w:t>
      </w:r>
      <w:r>
        <w:rPr>
          <w:b/>
          <w:bCs/>
        </w:rPr>
        <w:t xml:space="preserve">13.5×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0.81: forward P/E ÷ consensus EPS growth for the current and next fiscal year (15.7%/yr).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Organic growth ~5%; P/E 17.9× trailing, 12.6× forward (the lowest of the large brokers).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$1.05B, OCF $1.34B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-5.7%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−$98M, OCF $1.51B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-0.6%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$1.60B, OCF $1.77B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−0.6%; FCF/NI 153%.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FY24 GAAP loss (ROE −1.1%) reflected a disposal/impairment; operating margin rose steadily 17.4% → 23.2% (FY22–25).</w:t>
      </w:r>
    </w:p>
    <w:p>
      <w:pPr>
        <w:spacing w:after="100"/>
      </w:pPr>
      <w:r>
        <w:t xml:space="preserve">ROIC (NOPLAT ÷ avg invested capital, equity + debt − cash): 10.7% (FY2023) → 13.0% (FY2024) → 15.9% (FY2025). ROIC ex-goodwill (latest): &gt; 40%. WACC 7.9%.</w:t>
      </w:r>
    </w:p>
    <w:p>
      <w:pPr>
        <w:spacing w:after="100"/>
      </w:pPr>
      <w:r>
        <w:t xml:space="preserve">Margin trend (FY2022–FY2025): gross 42.9% → 43.6% → 44.6% → 42.1%; operating 17.4% → 19.2% → 21.5% → 23.2%; TTM operating 23.5%.</w:t>
      </w:r>
    </w:p>
    <w:p>
      <w:pPr>
        <w:spacing w:after="100"/>
      </w:pPr>
      <w:r>
        <w:t xml:space="preserve">Dilution: share count 107M → 95M (-3.8%/yr). Last-FY buybacks $1.65B.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0.42,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7.86%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$10.10B; year-1 growth 5.1% (consensus next-year revenue growth), fading linearly to terminal g + 1pp; operating margin 23.5% (TTM op. margin); tax 16.3%; reinvestment = growth ÷ RONIC (Base RONIC 40.0%); Key-Value-Driver terminal value, g 3.0%. Net debt $3.74B.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@7.9%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@9.4%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20.5% (17.1%)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6.9%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$13.83B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$2.37B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$235.11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€207.25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$178.34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5.1%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23.5% (19.6%)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$15.77B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$3.10B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$387.74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€341.79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$287.61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25.5% (21.3%)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$17.96B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$3.83B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$497.27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€438.34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$367.22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52% / 62% / 65% of EV (Bear / Base / Bull), inside Koller's 60–80% band.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~12.0×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(11.4×) persisted to year 10, Base would be $374.79 / €330.38 (-3%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$551.45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$608.11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$683.71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$952.63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$428.34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$459.22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$497.48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$611.58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$347.27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$365.82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$387.74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$446.86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$289.84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$301.73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$315.32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$349.59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7.9%,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$299.29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$324.19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$349.10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$382.30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$332.99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$360.36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$387.74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$424.24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$370.41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$400.53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$430.65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$470.81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$411.93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$445.09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$478.26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$522.48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WACC 7.9% (low beta). At 9–10%, Base is still above the price (see the grid).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(23.5%), RONIC and terminal assumptions, and solve for the growth path that makes value = $288.57.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-0.75×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$8.39B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-0.43×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$9.09B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0.16×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$10.49B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0.74×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$12.04B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4.9%.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0.8% vs 4.9%: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Organic growth of ~3–5% continues (the price needs ~1%).</w:t>
      </w:r>
    </w:p>
    <w:p>
      <w:pPr>
        <w:spacing w:after="100"/>
      </w:pPr>
      <w:r>
        <w:t xml:space="preserve">2. Margin expansion toward the Propel target, even partially.</w:t>
      </w:r>
    </w:p>
    <w:p>
      <w:pPr>
        <w:spacing w:after="100"/>
      </w:pPr>
      <w:r>
        <w:t xml:space="preserve">3. AI does not commoditise benefits administration faster than WTW can automate it.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Intangibles/relationships in brokerage &amp; consulting; 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Intangibles and relationships in broking and consulting: wide; CAP 10–15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adjusted operating margin +100bp YoY; GAAP operating margin up ~6pp since FY22.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−3.8%/yr.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0.3%.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0.3%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0.74, forward P/E 12.6×.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68/100 (ROIC ex-GW 63.4%, op. margin 23.5%, FCF/NI 152.8%).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Neutral: 12−1 month 0.5%; 3 months 10.4%.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0.42.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value, quality,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11% / 13% / 16%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153%; last FY 96%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-3.8%/yr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$1.65B; share count -3.8%/yr; price/Base 0.74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30.3%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7/9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heavy (−3.8%/yr) at ~0.74× Base value: value-accretive.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goodwill 30% of assets (legacy mergers); recent activity is disposals.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net debt ~$3.7B, manageable.</w:t>
      </w:r>
    </w:p>
    <w:p>
      <w:pPr>
        <w:pStyle w:val="Heading2"/>
        <w:spacing w:after="120" w:before="240"/>
      </w:pPr>
      <w:r>
        <w:t xml:space="preserve">10. Sector Appendix — Insurance Brokers &amp; Consulting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Organic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5%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operating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19.5% (Q2)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Expanding; target ~30% by 2028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conversion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153% (3-yr)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ex-goodwill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vs peers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12.6× forward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Discount to MMC/AON/AJG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$8.87B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$9.48B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$9.93B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$9.71B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$9.71B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−$4.22B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−$4.52B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−$4.04B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−$3.74B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−$3.74B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15.9%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$229M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30.3%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expanded 6pp while revenue barely grew (CAGR 3.1% incl. disposals): self-help has driven earnings.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~13× forward for a 5% organic grower with rising margins is the cheapest profile among the brokers covered.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WTW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70 (V 87 / Q 68 / G 40)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$235.11 / $387.74 / $497.27 (€207.25 / €341.79 / €438.34), WACC 7.9%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(7/9)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Organic growth &lt; 3% for 2 quarters, OR adj. operating margin &lt; 23%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87, Quality 68, Growth 40 → 70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Organic growth of ~3–5% continues (the price needs ~1%).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Margin expansion toward the Propel target, even partially.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does not commoditise benefits administration faster than WTW can automate it.</w:t>
      </w:r>
    </w:p>
    <w:p>
      <w:pPr>
        <w:spacing w:after="100"/>
      </w:pPr>
      <w:r>
        <w:t xml:space="preserve">Single biggest risk: Organic growth only ~5%; AI in consulting/benefits admin.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Organic growth below 3% for 2 quarters would push value toward Bear ($235.11 / €207).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on Propel margins would move value toward Bull ($497.27).</w:t>
      </w:r>
    </w:p>
    <w:p>
      <w:pPr>
        <w:spacing w:after="100"/>
      </w:pPr>
      <w:r>
        <w:t xml:space="preserve">Sources (Recent Context): WTW Q2 2026 press release (investors.wtwco.com); Yahoo Finance, WTW Q2 earnings beat; TradingView 10-Q summary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2026-10-03T12:02:56.527Z</dcterms:created>
  <dcterms:modified xsi:type="dcterms:W3CDTF">2026-10-03T12:02:56.527Z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