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CSTM — Constellium SE — Long-Term Deep-Dive</w:t>
      </w:r>
    </w:p>
    <w:p>
      <w:r>
        <w:t xml:space="preserve">Date: 2026-09-25 | Price: $24.63 / €21.62 (close Sept 24, 2026; EUR/USD 1.139) | Shares out: 135.5M | Market cap: ~$3.34B / €2.93B | Net debt: $1,760M (Jun 30, 2026) | EV: ~$5.10B | Next earnings: Q3-26, Oct 28, 2026</w:t>
      </w:r>
    </w:p>
    <w:p>
      <w:r>
        <w:t xml:space="preserve">[FUNDAMENTAL DATA MISSING — CSTM is not in ./data/fundamental_data.json. Figures come from Constellium's Q2-26 8-K/press release (Jul 29, 2026), the Q2 earnings call, yfinance and analyst-news aggregators, each dated where used.]</w:t>
      </w:r>
    </w:p>
    <w:p>
      <w:r>
        <w:rPr>
          <w:b/>
          <w:bCs/>
        </w:rPr>
        <w:t xml:space="preserve">Macro backdrop</w:t>
      </w:r>
      <w:r>
        <w:t xml:space="preserve"> (from macro_report_2026-09-24):</w:t>
      </w:r>
    </w:p>
    <w:p>
      <w:pPr>
        <w:pStyle w:val="ListParagraph"/>
        <w:numPr>
          <w:ilvl w:val="0"/>
          <w:numId w:val="1"/>
        </w:numPr>
      </w:pPr>
      <w:r>
        <w:t xml:space="preserve">REFLATION, HIGH confidence. 10Y 5.14%. The dollar is strengthening (EUR/USD 1.139).</w:t>
      </w:r>
    </w:p>
    <w:p>
      <w:pPr>
        <w:pStyle w:val="ListParagraph"/>
        <w:numPr>
          <w:ilvl w:val="0"/>
          <w:numId w:val="1"/>
        </w:numPr>
      </w:pPr>
      <w:r>
        <w:t xml:space="preserve">Copper and aluminium-linked names are supported by the growth impulse, which reads as a copper/gold ratio rising.</w:t>
      </w:r>
    </w:p>
    <w:p>
      <w:pPr>
        <w:pStyle w:val="ListParagraph"/>
        <w:numPr>
          <w:ilvl w:val="0"/>
          <w:numId w:val="1"/>
        </w:numPr>
      </w:pPr>
      <w:r>
        <w:t xml:space="preserve">Late cycle, with the CYCLE OVERRIDE active.</w:t>
      </w:r>
    </w:p>
    <w:p>
      <w:r>
        <w:rPr>
          <w:b/>
          <w:bCs/>
        </w:rPr>
        <w:t xml:space="preserve">Bottom line up front: QUALITY (cyclical), MoS Gate BASE, with a thin margin.</w:t>
      </w:r>
    </w:p>
    <w:p>
      <w:pPr>
        <w:pStyle w:val="ListParagraph"/>
        <w:numPr>
          <w:ilvl w:val="0"/>
          <w:numId w:val="1"/>
        </w:numPr>
      </w:pPr>
      <w:r>
        <w:t xml:space="preserve">$24.63 sits between the Bear ($14.56 / €12.78) and Base ($26.50 / €23.27) DCF values at a 9.5% WACC. It is only 7% below Base.</w:t>
      </w:r>
    </w:p>
    <w:p>
      <w:pPr>
        <w:pStyle w:val="ListParagraph"/>
        <w:numPr>
          <w:ilvl w:val="0"/>
          <w:numId w:val="1"/>
        </w:numPr>
      </w:pPr>
      <w:r>
        <w:t xml:space="preserve">At a 10.5% WACC the Base value is $21.72 and the gate fails.</w:t>
      </w:r>
    </w:p>
    <w:p>
      <w:pPr>
        <w:pStyle w:val="ListParagraph"/>
        <w:numPr>
          <w:ilvl w:val="0"/>
          <w:numId w:val="1"/>
        </w:numPr>
      </w:pPr>
      <w:r>
        <w:t xml:space="preserve">The stock looks optically very cheap: 4.3× TTM EV/EBITDA, 6.1× trailing P/E, and a &gt;9% FCF yield on 2026 guidance.</w:t>
      </w:r>
    </w:p>
    <w:p>
      <w:pPr>
        <w:pStyle w:val="ListParagraph"/>
        <w:numPr>
          <w:ilvl w:val="0"/>
          <w:numId w:val="1"/>
        </w:numPr>
      </w:pPr>
      <w:r>
        <w:t xml:space="preserve">The Lynch cyclical rule is the key caution. Trailing P/E is below forward P/E (8.9×), so consensus expects earnings to fall. H1-26 also included </w:t>
      </w:r>
      <w:r>
        <w:rPr>
          <w:b/>
          <w:bCs/>
        </w:rPr>
        <w:t xml:space="preserve">+$226M of non-cash metal-price-lag gains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Priced on mid-cycle EBITDA (~$900M), CSTM is fair value, not a bargain.</w:t>
      </w:r>
    </w:p>
    <w:p>
      <w:pPr>
        <w:pStyle w:val="Heading2"/>
        <w:spacing w:after="120" w:before="240"/>
      </w:pPr>
      <w:r>
        <w:t xml:space="preserve">0. Recent Context</w:t>
      </w:r>
    </w:p>
    <w:p>
      <w:r>
        <w:rPr>
          <w:b/>
          <w:bCs/>
        </w:rPr>
        <w:t xml:space="preserve">Last reported quarter: Q2-26, reported Jul 29, 2026</w:t>
      </w:r>
      <w:r>
        <w:t xml:space="preserve"> (source: Constellium 8-K/press release)</w:t>
      </w:r>
    </w:p>
    <w:p>
      <w:r>
        <w:t xml:space="preserve">Shipments and results:</w:t>
      </w:r>
    </w:p>
    <w:p>
      <w:pPr>
        <w:pStyle w:val="ListParagraph"/>
        <w:numPr>
          <w:ilvl w:val="0"/>
          <w:numId w:val="1"/>
        </w:numPr>
      </w:pPr>
      <w:r>
        <w:t xml:space="preserve">Shipments 381kt, down from 384kt (−1% YoY).</w:t>
      </w:r>
    </w:p>
    <w:p>
      <w:pPr>
        <w:pStyle w:val="ListParagraph"/>
        <w:numPr>
          <w:ilvl w:val="0"/>
          <w:numId w:val="1"/>
        </w:numPr>
      </w:pPr>
      <w:r>
        <w:t xml:space="preserve">Revenue $2,748M, up from $2,103M (+31% YoY). Metal-price pass-through; volumes were flat.</w:t>
      </w:r>
    </w:p>
    <w:p>
      <w:pPr>
        <w:pStyle w:val="ListParagraph"/>
        <w:numPr>
          <w:ilvl w:val="0"/>
          <w:numId w:val="1"/>
        </w:numPr>
      </w:pPr>
      <w:r>
        <w:t xml:space="preserve">Net income $148M, up from $36M (+311% YoY). Adjusted EPS $1.04, up from $0.25, beating consensus of $0.71 by $0.33 (+46%).</w:t>
      </w:r>
    </w:p>
    <w:p>
      <w:r>
        <w:t xml:space="preserve">Adjusted EBITDA:</w:t>
      </w:r>
    </w:p>
    <w:p>
      <w:pPr>
        <w:pStyle w:val="ListParagraph"/>
        <w:numPr>
          <w:ilvl w:val="0"/>
          <w:numId w:val="1"/>
        </w:numPr>
      </w:pPr>
      <w:r>
        <w:t xml:space="preserve">Adj. EBITDA $439M, up from $146M (+201%). This </w:t>
      </w:r>
      <w:r>
        <w:rPr>
          <w:b/>
          <w:bCs/>
        </w:rPr>
        <w:t xml:space="preserve">includes</w:t>
      </w:r>
      <w:r>
        <w:t xml:space="preserve"> a +$129M metal price lag (Q2-25: −$19M).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Adj. EBITDA ex-metal-lag $310M, up from $165M (+88% YoY). An all-time quarterly record.</w:t>
      </w:r>
    </w:p>
    <w:p>
      <w:pPr>
        <w:pStyle w:val="ListParagraph"/>
        <w:numPr>
          <w:ilvl w:val="0"/>
          <w:numId w:val="1"/>
        </w:numPr>
      </w:pPr>
      <w:r>
        <w:t xml:space="preserve">H1-26 adj. EBITDA ex-lag $572M, up from $312M (+83%). H1 metal lag +$226M vs +$20M.</w:t>
      </w:r>
    </w:p>
    <w:p>
      <w:r>
        <w:t xml:space="preserve">Cash, leverage and buybacks:</w:t>
      </w:r>
    </w:p>
    <w:p>
      <w:pPr>
        <w:pStyle w:val="ListParagraph"/>
        <w:numPr>
          <w:ilvl w:val="0"/>
          <w:numId w:val="1"/>
        </w:numPr>
      </w:pPr>
      <w:r>
        <w:t xml:space="preserve">Free cash flow Q2 $90M, up from $41M (+120%). H1 $95M, up from $38M (+150%).</w:t>
      </w:r>
    </w:p>
    <w:p>
      <w:pPr>
        <w:pStyle w:val="ListParagraph"/>
        <w:numPr>
          <w:ilvl w:val="0"/>
          <w:numId w:val="1"/>
        </w:numPr>
      </w:pPr>
      <w:r>
        <w:t xml:space="preserve">Net debt $1,760M, down from $1,824M at Dec 31, 2025 (−3.5%). Leverage 1.8×; the target range is 1.5–2.5×.</w:t>
      </w:r>
    </w:p>
    <w:p>
      <w:pPr>
        <w:pStyle w:val="ListParagraph"/>
        <w:numPr>
          <w:ilvl w:val="0"/>
          <w:numId w:val="1"/>
        </w:numPr>
      </w:pPr>
      <w:r>
        <w:t xml:space="preserve">Buybacks: Q2 0.623M shares for $20M; H1 1.8M shares for $48M. $100M of senior notes redeemed.</w:t>
      </w:r>
    </w:p>
    <w:p>
      <w:r>
        <w:rPr>
          <w:b/>
          <w:bCs/>
        </w:rPr>
        <w:t xml:space="preserve">Guidance (raised):</w:t>
      </w:r>
    </w:p>
    <w:p>
      <w:pPr>
        <w:pStyle w:val="ListParagraph"/>
        <w:numPr>
          <w:ilvl w:val="0"/>
          <w:numId w:val="1"/>
        </w:numPr>
      </w:pPr>
      <w:r>
        <w:t xml:space="preserve">FY26 adj. EBITDA ex-metal-lag $980M–1,020M, midpoint $1.0B. The prior guide was $900–940M per aggregators, so the midpoint rose ~+8.7%.</w:t>
      </w:r>
    </w:p>
    <w:p>
      <w:pPr>
        <w:pStyle w:val="ListParagraph"/>
        <w:numPr>
          <w:ilvl w:val="0"/>
          <w:numId w:val="1"/>
        </w:numPr>
      </w:pPr>
      <w:r>
        <w:t xml:space="preserve">FY26 FCF &gt; $300M.</w:t>
      </w:r>
    </w:p>
    <w:p>
      <w:pPr>
        <w:pStyle w:val="ListParagraph"/>
        <w:numPr>
          <w:ilvl w:val="0"/>
          <w:numId w:val="1"/>
        </w:numPr>
      </w:pPr>
      <w:r>
        <w:t xml:space="preserve">The 2028 targets (adj. EBITDA $900M, FCF $300M) are now expected </w:t>
      </w:r>
      <w:r>
        <w:rPr>
          <w:b/>
          <w:bCs/>
        </w:rPr>
        <w:t xml:space="preserve">two years early</w:t>
      </w:r>
      <w:r>
        <w:t xml:space="preserve">.</w:t>
      </w:r>
    </w:p>
    <w:p>
      <w:r>
        <w:rPr>
          <w:b/>
          <w:bCs/>
        </w:rPr>
        <w:t xml:space="preserve">Segment detail: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 w:val="clear"/>
          </w:tcPr>
          <w:p>
            <w:r>
              <w:t xml:space="preserve">Segment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Shipments Q2-26 vs Q2-25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Revenue Q2-26 vs Q2-25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Segment adj. EBITDA Q2-26 vs Q2-25</w:t>
            </w:r>
          </w:p>
        </w:tc>
      </w:tr>
      <w:tr>
        <w:tc>
          <w:tcPr>
            <w:tcW w:type="dxa" w:w="2700"/>
          </w:tcPr>
          <w:p>
            <w:r>
              <w:t xml:space="preserve">Aerospace &amp; Transportation (A&amp;T)</w:t>
            </w:r>
          </w:p>
        </w:tc>
        <w:tc>
          <w:tcPr>
            <w:tcW w:type="dxa" w:w="2700"/>
          </w:tcPr>
          <w:p>
            <w:r>
              <w:t xml:space="preserve">65kt vs 53kt (+21%)</w:t>
            </w:r>
          </w:p>
        </w:tc>
        <w:tc>
          <w:tcPr>
            <w:tcW w:type="dxa" w:w="2700"/>
          </w:tcPr>
          <w:p>
            <w:r>
              <w:t xml:space="preserve">$680M vs $492M (+38%)</w:t>
            </w:r>
          </w:p>
        </w:tc>
        <w:tc>
          <w:tcPr>
            <w:tcW w:type="dxa" w:w="2700"/>
          </w:tcPr>
          <w:p>
            <w:r>
              <w:t xml:space="preserve">$135M vs $84M (+61%)</w:t>
            </w:r>
          </w:p>
        </w:tc>
      </w:tr>
      <w:tr>
        <w:tc>
          <w:tcPr>
            <w:tcW w:type="dxa" w:w="2700"/>
          </w:tcPr>
          <w:p>
            <w:r>
              <w:t xml:space="preserve">Packaging &amp; Automotive Rolled Products (P&amp;ARP)</w:t>
            </w:r>
          </w:p>
        </w:tc>
        <w:tc>
          <w:tcPr>
            <w:tcW w:type="dxa" w:w="2700"/>
          </w:tcPr>
          <w:p>
            <w:r>
              <w:t xml:space="preserve">266kt vs 276kt (−4%)</w:t>
            </w:r>
          </w:p>
        </w:tc>
        <w:tc>
          <w:tcPr>
            <w:tcW w:type="dxa" w:w="2700"/>
          </w:tcPr>
          <w:p>
            <w:r>
              <w:t xml:space="preserve">$1,680M vs $1,235M (+36%)</w:t>
            </w:r>
          </w:p>
        </w:tc>
        <w:tc>
          <w:tcPr>
            <w:tcW w:type="dxa" w:w="2700"/>
          </w:tcPr>
          <w:p>
            <w:r>
              <w:t xml:space="preserve">$165M vs $74M (+123%)</w:t>
            </w:r>
          </w:p>
        </w:tc>
      </w:tr>
      <w:tr>
        <w:tc>
          <w:tcPr>
            <w:tcW w:type="dxa" w:w="2700"/>
          </w:tcPr>
          <w:p>
            <w:r>
              <w:t xml:space="preserve">Automotive Structures &amp; Industry (AS&amp;I)</w:t>
            </w:r>
          </w:p>
        </w:tc>
        <w:tc>
          <w:tcPr>
            <w:tcW w:type="dxa" w:w="2700"/>
          </w:tcPr>
          <w:p>
            <w:r>
              <w:t xml:space="preserve">55kt vs 55kt (0%)</w:t>
            </w:r>
          </w:p>
        </w:tc>
        <w:tc>
          <w:tcPr>
            <w:tcW w:type="dxa" w:w="2700"/>
          </w:tcPr>
          <w:p>
            <w:r>
              <w:t xml:space="preserve">$458M vs $421M (+9%)</w:t>
            </w:r>
          </w:p>
        </w:tc>
        <w:tc>
          <w:tcPr>
            <w:tcW w:type="dxa" w:w="2700"/>
          </w:tcPr>
          <w:p>
            <w:r>
              <w:t xml:space="preserve">$26M vs $18M (+44%)</w:t>
            </w:r>
          </w:p>
        </w:tc>
      </w:tr>
    </w:tbl>
    <w:p>
      <w:r>
        <w:rPr>
          <w:b/>
          <w:bCs/>
        </w:rPr>
        <w:t xml:space="preserve">Key sector metric (converter: EBITDA per ton, ex-lag):</w:t>
      </w:r>
    </w:p>
    <w:p>
      <w:pPr>
        <w:pStyle w:val="ListParagraph"/>
        <w:numPr>
          <w:ilvl w:val="0"/>
          <w:numId w:val="1"/>
        </w:numPr>
      </w:pPr>
      <w:r>
        <w:t xml:space="preserve">Q2-26 ≈ $814/t ($310M / 381kt), up from ≈ $430/t ($165M / 384kt), +89% YoY.</w:t>
      </w:r>
    </w:p>
    <w:p>
      <w:pPr>
        <w:pStyle w:val="ListParagraph"/>
        <w:numPr>
          <w:ilvl w:val="0"/>
          <w:numId w:val="1"/>
        </w:numPr>
      </w:pPr>
      <w:r>
        <w:t xml:space="preserve">Management attributes the gain to:</w:t>
      </w:r>
    </w:p>
    <w:p>
      <w:r>
        <w:t xml:space="preserve">  - The aerospace recovery (record OEM backlogs).</w:t>
      </w:r>
    </w:p>
    <w:p>
      <w:r>
        <w:t xml:space="preserve">  - The North American rolled-products shortage (automotive).</w:t>
      </w:r>
    </w:p>
    <w:p>
      <w:r>
        <w:t xml:space="preserve">  - Recycling/scrap-spread economics.</w:t>
      </w:r>
    </w:p>
    <w:p>
      <w:r>
        <w:t xml:space="preserve">  - Tariffs, which management calls "a net positive": better pricing vs imports and better US recycling economics.</w:t>
      </w:r>
    </w:p>
    <w:p>
      <w:pPr>
        <w:pStyle w:val="ListParagraph"/>
        <w:numPr>
          <w:ilvl w:val="0"/>
          <w:numId w:val="1"/>
        </w:numPr>
      </w:pPr>
      <w:r>
        <w:t xml:space="preserve">H2 scrap needs are "essentially locked in", but benefits are expected to "taper off" year-on-year.</w:t>
      </w:r>
    </w:p>
    <w:p>
      <w:pPr>
        <w:pStyle w:val="ListParagraph"/>
        <w:numPr>
          <w:ilvl w:val="0"/>
          <w:numId w:val="1"/>
        </w:numPr>
      </w:pPr>
      <w:r>
        <w:t xml:space="preserve">European auto remains weak.</w:t>
      </w:r>
    </w:p>
    <w:p>
      <w:r>
        <w:rPr>
          <w:b/>
          <w:bCs/>
        </w:rPr>
        <w:t xml:space="preserve">CEO commentary</w:t>
      </w:r>
      <w:r>
        <w:t xml:space="preserve"> (Ingrid Joerg): "a new record quarterly Adjusted EBITDA in the second quarter despite uncertainties on the macroeconomic and geopolitical fronts."</w:t>
      </w:r>
    </w:p>
    <w:p>
      <w:r>
        <w:rPr>
          <w:b/>
          <w:bCs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Jul 29, 2026:</w:t>
      </w:r>
      <w:r>
        <w:t xml:space="preserve"> shares fell 3.8% premarket to $27.99 despite the beat, as investors focused on metal prices, taxes and the H2 taper.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Sept 18, 2026:</w:t>
      </w:r>
      <w:r>
        <w:t xml:space="preserve"> Wells Fargo kept Overweight and cut its target $39 → $38 (−2.6%).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Consensus:</w:t>
      </w:r>
      <w:r>
        <w:t xml:space="preserve"> Strong Buy (5 analysts). Mean target ~$36.7–37.8 (+49–53% vs $24.63).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Capital projects:</w:t>
      </w:r>
    </w:p>
    <w:p>
      <w:r>
        <w:t xml:space="preserve">  - Issoire Airware cast house commissioned (customer qualification underway).</w:t>
      </w:r>
    </w:p>
    <w:p>
      <w:r>
        <w:t xml:space="preserve">  - Fayssac recycling ramping to full capacity in 2027.</w:t>
      </w:r>
    </w:p>
    <w:p>
      <w:r>
        <w:t xml:space="preserve">  - Muscle Shoals casting complex in 2027. Ravenswood complexes in 2028.</w:t>
      </w:r>
    </w:p>
    <w:p>
      <w:r>
        <w:t xml:space="preserve">  - All targeted at &gt;15% IRR.</w:t>
      </w:r>
    </w:p>
    <w:p>
      <w:r>
        <w:rPr>
          <w:b/>
          <w:bCs/>
        </w:rPr>
        <w:t xml:space="preserve">Price:</w:t>
      </w:r>
      <w:r>
        <w:t xml:space="preserve"> 52-week range $14.39–$36.99. $24.63 is 33.4% below the high. It is +76% over the 12-1 month window but −27% over 3 months and −9% over 1 month, and below the 200-day average ($27.18).</w:t>
      </w:r>
    </w:p>
    <w:p>
      <w:pPr>
        <w:pStyle w:val="Heading2"/>
        <w:spacing w:after="120" w:before="240"/>
      </w:pPr>
      <w:r>
        <w:t xml:space="preserve">1. Business Overview</w:t>
      </w:r>
    </w:p>
    <w:p>
      <w:r>
        <w:rPr>
          <w:b/>
          <w:bCs/>
        </w:rPr>
        <w:t xml:space="preserve">Segments</w:t>
      </w:r>
      <w:r>
        <w:t xml:space="preserve"> (H1-26; segment revenue before intersegment eliminations):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Segment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What it does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H1-26 revenue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Share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H1-26 segment adj. EBITDA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EBITDA share</w:t>
            </w:r>
          </w:p>
        </w:tc>
      </w:tr>
      <w:tr>
        <w:tc>
          <w:tcPr>
            <w:tcW w:type="dxa" w:w="1800"/>
          </w:tcPr>
          <w:p>
            <w:r>
              <w:t xml:space="preserve">A&amp;T</w:t>
            </w:r>
          </w:p>
        </w:tc>
        <w:tc>
          <w:tcPr>
            <w:tcW w:type="dxa" w:w="1800"/>
          </w:tcPr>
          <w:p>
            <w:r>
              <w:t xml:space="preserve">Aerospace plate and sheet, space and defence alloys, transportation/industry plate</w:t>
            </w:r>
          </w:p>
        </w:tc>
        <w:tc>
          <w:tcPr>
            <w:tcW w:type="dxa" w:w="1800"/>
          </w:tcPr>
          <w:p>
            <w:r>
              <w:t xml:space="preserve">$1,289M (+34%)</w:t>
            </w:r>
          </w:p>
        </w:tc>
        <w:tc>
          <w:tcPr>
            <w:tcW w:type="dxa" w:w="1800"/>
          </w:tcPr>
          <w:p>
            <w:r>
              <w:t xml:space="preserve">24%</w:t>
            </w:r>
          </w:p>
        </w:tc>
        <w:tc>
          <w:tcPr>
            <w:tcW w:type="dxa" w:w="1800"/>
          </w:tcPr>
          <w:p>
            <w:r>
              <w:t xml:space="preserve">$238M (+44%)</w:t>
            </w:r>
          </w:p>
        </w:tc>
        <w:tc>
          <w:tcPr>
            <w:tcW w:type="dxa" w:w="1800"/>
          </w:tcPr>
          <w:p>
            <w:r>
              <w:t xml:space="preserve">39%</w:t>
            </w:r>
          </w:p>
        </w:tc>
      </w:tr>
      <w:tr>
        <w:tc>
          <w:tcPr>
            <w:tcW w:type="dxa" w:w="1800"/>
          </w:tcPr>
          <w:p>
            <w:r>
              <w:t xml:space="preserve">P&amp;ARP</w:t>
            </w:r>
          </w:p>
        </w:tc>
        <w:tc>
          <w:tcPr>
            <w:tcW w:type="dxa" w:w="1800"/>
          </w:tcPr>
          <w:p>
            <w:r>
              <w:t xml:space="preserve">Beverage can stock/closures and automotive body sheet</w:t>
            </w:r>
          </w:p>
        </w:tc>
        <w:tc>
          <w:tcPr>
            <w:tcW w:type="dxa" w:w="1800"/>
          </w:tcPr>
          <w:p>
            <w:r>
              <w:t xml:space="preserve">$3,157M (+30%)</w:t>
            </w:r>
          </w:p>
        </w:tc>
        <w:tc>
          <w:tcPr>
            <w:tcW w:type="dxa" w:w="1800"/>
          </w:tcPr>
          <w:p>
            <w:r>
              <w:t xml:space="preserve">59%</w:t>
            </w:r>
          </w:p>
        </w:tc>
        <w:tc>
          <w:tcPr>
            <w:tcW w:type="dxa" w:w="1800"/>
          </w:tcPr>
          <w:p>
            <w:r>
              <w:t xml:space="preserve">$317M (+135%)</w:t>
            </w:r>
          </w:p>
        </w:tc>
        <w:tc>
          <w:tcPr>
            <w:tcW w:type="dxa" w:w="1800"/>
          </w:tcPr>
          <w:p>
            <w:r>
              <w:t xml:space="preserve">52%</w:t>
            </w:r>
          </w:p>
        </w:tc>
      </w:tr>
      <w:tr>
        <w:tc>
          <w:tcPr>
            <w:tcW w:type="dxa" w:w="1800"/>
          </w:tcPr>
          <w:p>
            <w:r>
              <w:t xml:space="preserve">AS&amp;I</w:t>
            </w:r>
          </w:p>
        </w:tc>
        <w:tc>
          <w:tcPr>
            <w:tcW w:type="dxa" w:w="1800"/>
          </w:tcPr>
          <w:p>
            <w:r>
              <w:t xml:space="preserve">Extrusions and crash-management/structural components for autos and industry</w:t>
            </w:r>
          </w:p>
        </w:tc>
        <w:tc>
          <w:tcPr>
            <w:tcW w:type="dxa" w:w="1800"/>
          </w:tcPr>
          <w:p>
            <w:r>
              <w:t xml:space="preserve">$873M (+9%)</w:t>
            </w:r>
          </w:p>
        </w:tc>
        <w:tc>
          <w:tcPr>
            <w:tcW w:type="dxa" w:w="1800"/>
          </w:tcPr>
          <w:p>
            <w:r>
              <w:t xml:space="preserve">16%</w:t>
            </w:r>
          </w:p>
        </w:tc>
        <w:tc>
          <w:tcPr>
            <w:tcW w:type="dxa" w:w="1800"/>
          </w:tcPr>
          <w:p>
            <w:r>
              <w:t xml:space="preserve">$49M (+44%)</w:t>
            </w:r>
          </w:p>
        </w:tc>
        <w:tc>
          <w:tcPr>
            <w:tcW w:type="dxa" w:w="1800"/>
          </w:tcPr>
          <w:p>
            <w:r>
              <w:t xml:space="preserve">8%</w:t>
            </w:r>
          </w:p>
        </w:tc>
      </w:tr>
    </w:tbl>
    <w:p>
      <w:r>
        <w:rPr>
          <w:b/>
          <w:bCs/>
        </w:rPr>
        <w:t xml:space="preserve">Principal markets:</w:t>
      </w:r>
    </w:p>
    <w:p>
      <w:pPr>
        <w:pStyle w:val="ListParagraph"/>
        <w:numPr>
          <w:ilvl w:val="0"/>
          <w:numId w:val="1"/>
        </w:numPr>
      </w:pPr>
      <w:r>
        <w:t xml:space="preserve">Manufacturing footprint concentrated in France/Europe (Issoire, Neuf-Brisach) and the US (Muscle Shoals AL, Ravenswood WV).</w:t>
      </w:r>
    </w:p>
    <w:p>
      <w:pPr>
        <w:pStyle w:val="ListParagraph"/>
        <w:numPr>
          <w:ilvl w:val="0"/>
          <w:numId w:val="1"/>
        </w:numPr>
      </w:pPr>
      <w:r>
        <w:t xml:space="preserve">Customers are aerospace OEMs and tier-1s, beverage can makers and automotive OEMs.</w:t>
      </w:r>
    </w:p>
    <w:p>
      <w:pPr>
        <w:pStyle w:val="ListParagraph"/>
        <w:numPr>
          <w:ilvl w:val="0"/>
          <w:numId w:val="1"/>
        </w:numPr>
      </w:pPr>
      <w:r>
        <w:t xml:space="preserve">Competitors:</w:t>
      </w:r>
    </w:p>
    <w:p>
      <w:r>
        <w:t xml:space="preserve">  - Rolled products: Novelis (Hindalco), Arconic (private), Kaiser Aluminum, Speira.</w:t>
      </w:r>
    </w:p>
    <w:p>
      <w:r>
        <w:t xml:space="preserve">  - Extrusions: Hydro.</w:t>
      </w:r>
    </w:p>
    <w:p>
      <w:pPr>
        <w:pStyle w:val="ListParagraph"/>
        <w:numPr>
          <w:ilvl w:val="0"/>
          <w:numId w:val="1"/>
        </w:numPr>
      </w:pPr>
      <w:r>
        <w:t xml:space="preserve">The regional geographic revenue split was not retrieved [UNCONFIRMED — not stated].</w:t>
      </w:r>
    </w:p>
    <w:p>
      <w:r>
        <w:rPr>
          <w:b/>
          <w:bCs/>
        </w:rPr>
        <w:t xml:space="preserve">TAM:</w:t>
      </w:r>
    </w:p>
    <w:p>
      <w:pPr>
        <w:pStyle w:val="ListParagraph"/>
        <w:numPr>
          <w:ilvl w:val="0"/>
          <w:numId w:val="1"/>
        </w:numPr>
      </w:pPr>
      <w:r>
        <w:t xml:space="preserve">Constellium does not disclose a TAM figure in the materials retrieved, and no sourced independent figure was found. </w:t>
      </w:r>
      <w:r>
        <w:rPr>
          <w:b/>
          <w:bCs/>
        </w:rPr>
        <w:t xml:space="preserve">No TAM is stated.</w:t>
      </w:r>
    </w:p>
    <w:p>
      <w:pPr>
        <w:pStyle w:val="ListParagraph"/>
        <w:numPr>
          <w:ilvl w:val="0"/>
          <w:numId w:val="1"/>
        </w:numPr>
      </w:pPr>
      <w:r>
        <w:t xml:space="preserve">Penetration is not a meaningful lever for a converter. Share, mix and conversion spread are.</w:t>
      </w:r>
    </w:p>
    <w:p>
      <w:pPr>
        <w:pStyle w:val="Heading2"/>
        <w:spacing w:after="120" w:before="240"/>
      </w:pPr>
      <w:r>
        <w:t xml:space="preserve">2. Routing</w:t>
      </w:r>
    </w:p>
    <w:p>
      <w:r>
        <w:rPr>
          <w:b/>
          <w:bCs/>
        </w:rPr>
        <w:t xml:space="preserve">Track A-MN, metals-processing sub-type.</w:t>
      </w:r>
    </w:p>
    <w:p>
      <w:pPr>
        <w:pStyle w:val="ListParagraph"/>
        <w:numPr>
          <w:ilvl w:val="0"/>
          <w:numId w:val="1"/>
        </w:numPr>
      </w:pPr>
      <w:r>
        <w:t xml:space="preserve">Constellium is a converter/recycler, not a miner, so NAV/P/NAV does not apply.</w:t>
      </w:r>
    </w:p>
    <w:p>
      <w:pPr>
        <w:pStyle w:val="ListParagraph"/>
        <w:numPr>
          <w:ilvl w:val="0"/>
          <w:numId w:val="1"/>
        </w:numPr>
      </w:pPr>
      <w:r>
        <w:t xml:space="preserve">The primary anchor is Koller DCF plus </w:t>
      </w:r>
      <w:r>
        <w:rPr>
          <w:b/>
          <w:bCs/>
        </w:rPr>
        <w:t xml:space="preserve">mid-cycle EV/EBITDA and FCF yield</w:t>
      </w:r>
      <w:r>
        <w:t xml:space="preserve">, with the Industrials and Chemicals (commodity vs specialty) appendices as cross-checks.</w:t>
      </w:r>
    </w:p>
    <w:p>
      <w:pPr>
        <w:pStyle w:val="ListParagraph"/>
        <w:numPr>
          <w:ilvl w:val="0"/>
          <w:numId w:val="1"/>
        </w:numPr>
      </w:pPr>
      <w:r>
        <w:t xml:space="preserve">Aerospace plate is closer to "specialty" (qualification-driven pricing). Can stock is closer to "commodity" (a conversion-spread business).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r>
        <w:rPr>
          <w:b/>
          <w:bCs/>
        </w:rPr>
        <w:t xml:space="preserve">Cyclical.</w:t>
      </w:r>
    </w:p>
    <w:p>
      <w:pPr>
        <w:pStyle w:val="ListParagraph"/>
        <w:numPr>
          <w:ilvl w:val="0"/>
          <w:numId w:val="1"/>
        </w:numPr>
      </w:pPr>
      <w:r>
        <w:t xml:space="preserve">Revenue: FY22 $8.53B → FY23 $7.83B → FY24 $7.34B → FY25 $8.45B.</w:t>
      </w:r>
    </w:p>
    <w:p>
      <w:pPr>
        <w:pStyle w:val="ListParagraph"/>
        <w:numPr>
          <w:ilvl w:val="0"/>
          <w:numId w:val="1"/>
        </w:numPr>
      </w:pPr>
      <w:r>
        <w:t xml:space="preserve">Net income: $308M → $152M → $56M → $273M.</w:t>
      </w:r>
    </w:p>
    <w:p>
      <w:pPr>
        <w:pStyle w:val="ListParagraph"/>
        <w:numPr>
          <w:ilvl w:val="0"/>
          <w:numId w:val="1"/>
        </w:numPr>
      </w:pPr>
      <w:r>
        <w:t xml:space="preserve">Earnings swing with metal prices, scrap spreads, auto builds and aerospace cycles.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Lynch's cyclical rule applies directly.</w:t>
      </w:r>
      <w:r>
        <w:t xml:space="preserve"> A low trailing P/E (6.1×) at record EBITDA is a warning, not a bargain signal. The forward P/E of 8.9× confirms consensus expects EPS to fall from the metal-lag-inflated trailing level.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r>
        <w:rPr>
          <w:b/>
          <w:bCs/>
        </w:rPr>
        <w:t xml:space="preserve">Accrual ratio (NI − OCF) / avg total assets: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Year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NI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OCF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Avg total assets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Accrual ratio</w:t>
            </w:r>
          </w:p>
        </w:tc>
      </w:tr>
      <w:tr>
        <w:tc>
          <w:tcPr>
            <w:tcW w:type="dxa" w:w="2160"/>
          </w:tcPr>
          <w:p>
            <w:r>
              <w:t xml:space="preserve">FY25</w:t>
            </w:r>
          </w:p>
        </w:tc>
        <w:tc>
          <w:tcPr>
            <w:tcW w:type="dxa" w:w="2160"/>
          </w:tcPr>
          <w:p>
            <w:r>
              <w:t xml:space="preserve">$273M</w:t>
            </w:r>
          </w:p>
        </w:tc>
        <w:tc>
          <w:tcPr>
            <w:tcW w:type="dxa" w:w="2160"/>
          </w:tcPr>
          <w:p>
            <w:r>
              <w:t xml:space="preserve">$489M</w:t>
            </w:r>
          </w:p>
        </w:tc>
        <w:tc>
          <w:tcPr>
            <w:tcW w:type="dxa" w:w="2160"/>
          </w:tcPr>
          <w:p>
            <w:r>
              <w:t xml:space="preserve">$5,044M</w:t>
            </w:r>
          </w:p>
        </w:tc>
        <w:tc>
          <w:tcPr>
            <w:tcW w:type="dxa" w:w="2160"/>
          </w:tcPr>
          <w:p>
            <w:r>
              <w:rPr>
                <w:b/>
                <w:bCs/>
              </w:rPr>
              <w:t xml:space="preserve">−4.3%</w:t>
            </w:r>
          </w:p>
        </w:tc>
      </w:tr>
      <w:tr>
        <w:tc>
          <w:tcPr>
            <w:tcW w:type="dxa" w:w="2160"/>
          </w:tcPr>
          <w:p>
            <w:r>
              <w:t xml:space="preserve">FY24</w:t>
            </w:r>
          </w:p>
        </w:tc>
        <w:tc>
          <w:tcPr>
            <w:tcW w:type="dxa" w:w="2160"/>
          </w:tcPr>
          <w:p>
            <w:r>
              <w:t xml:space="preserve">$56M</w:t>
            </w:r>
          </w:p>
        </w:tc>
        <w:tc>
          <w:tcPr>
            <w:tcW w:type="dxa" w:w="2160"/>
          </w:tcPr>
          <w:p>
            <w:r>
              <w:t xml:space="preserve">$301M</w:t>
            </w:r>
          </w:p>
        </w:tc>
        <w:tc>
          <w:tcPr>
            <w:tcW w:type="dxa" w:w="2160"/>
          </w:tcPr>
          <w:p>
            <w:r>
              <w:t xml:space="preserve">$4,833M</w:t>
            </w:r>
          </w:p>
        </w:tc>
        <w:tc>
          <w:tcPr>
            <w:tcW w:type="dxa" w:w="2160"/>
          </w:tcPr>
          <w:p>
            <w:r>
              <w:t xml:space="preserve">−5.1%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Earnings are cash-backed. No Sloan flag.</w:t>
      </w:r>
    </w:p>
    <w:p>
      <w:r>
        <w:rPr>
          <w:b/>
          <w:bCs/>
        </w:rPr>
        <w:t xml:space="preserve">Transitory component:</w:t>
      </w:r>
    </w:p>
    <w:p>
      <w:pPr>
        <w:pStyle w:val="ListParagraph"/>
        <w:numPr>
          <w:ilvl w:val="0"/>
          <w:numId w:val="1"/>
        </w:numPr>
      </w:pPr>
      <w:r>
        <w:t xml:space="preserve">H1-26 metal price lag: </w:t>
      </w:r>
      <w:r>
        <w:rPr>
          <w:b/>
          <w:bCs/>
        </w:rPr>
        <w:t xml:space="preserve">+$226M, non-cash</w:t>
      </w:r>
      <w:r>
        <w:t xml:space="preserve">, against +$20M in H1-25.</w:t>
      </w:r>
    </w:p>
    <w:p>
      <w:pPr>
        <w:pStyle w:val="ListParagraph"/>
        <w:numPr>
          <w:ilvl w:val="0"/>
          <w:numId w:val="1"/>
        </w:numPr>
      </w:pPr>
      <w:r>
        <w:t xml:space="preserve">Stripping it, H1 adj. EBITDA ex-lag is $572M. That is the persistent figure to value on.</w:t>
      </w:r>
    </w:p>
    <w:p>
      <w:pPr>
        <w:pStyle w:val="ListParagraph"/>
        <w:numPr>
          <w:ilvl w:val="0"/>
          <w:numId w:val="1"/>
        </w:numPr>
      </w:pPr>
      <w:r>
        <w:t xml:space="preserve">Reported H1 net income of $344M (+365%) overstates persistent earnings by the after-tax lag, roughly $170M.</w:t>
      </w:r>
    </w:p>
    <w:p>
      <w:r>
        <w:rPr>
          <w:b/>
          <w:bCs/>
        </w:rPr>
        <w:t xml:space="preserve">ROE vs RNOA:</w:t>
      </w:r>
    </w:p>
    <w:p>
      <w:pPr>
        <w:pStyle w:val="ListParagraph"/>
        <w:numPr>
          <w:ilvl w:val="0"/>
          <w:numId w:val="1"/>
        </w:numPr>
      </w:pPr>
      <w:r>
        <w:t xml:space="preserve">ROE of 33–44% is </w:t>
      </w:r>
      <w:r>
        <w:rPr>
          <w:b/>
          <w:bCs/>
        </w:rPr>
        <w:t xml:space="preserve">leverage-driven</w:t>
      </w:r>
      <w:r>
        <w:t xml:space="preserve">: book equity is only $952M against $5.35B of assets.</w:t>
      </w:r>
    </w:p>
    <w:p>
      <w:pPr>
        <w:pStyle w:val="ListParagraph"/>
        <w:numPr>
          <w:ilvl w:val="0"/>
          <w:numId w:val="1"/>
        </w:numPr>
      </w:pPr>
      <w:r>
        <w:t xml:space="preserve">ROIC (NOPLAT / invested capital, 25% tax) is the operating read: 8.6% (FY22), 10.9% (FY23), 7.8% (FY24), 12.3% (FY25).</w:t>
      </w:r>
    </w:p>
    <w:p>
      <w:pPr>
        <w:pStyle w:val="ListParagraph"/>
        <w:numPr>
          <w:ilvl w:val="0"/>
          <w:numId w:val="1"/>
        </w:numPr>
      </w:pPr>
      <w:r>
        <w:t xml:space="preserve">RNOA-equivalent is improving, but only recently above WACC.</w:t>
      </w:r>
    </w:p>
    <w:p>
      <w:r>
        <w:rPr>
          <w:b/>
          <w:bCs/>
        </w:rPr>
        <w:t xml:space="preserve">Margin trend:</w:t>
      </w:r>
      <w:r>
        <w:t xml:space="preserve"> gross margin 11.3% → 13.5% → 12.8% → 14.0% → 16.3% TTM.</w:t>
      </w:r>
    </w:p>
    <w:p>
      <w:r>
        <w:rPr>
          <w:b/>
          <w:bCs/>
        </w:rPr>
        <w:t xml:space="preserve">Dilution:</w:t>
      </w:r>
      <w:r>
        <w:t xml:space="preserve"> none. Shares went 146.8M (FY23) → 135.5M, −7.7% over 2.5 years.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r>
        <w:rPr>
          <w:b/>
          <w:bCs/>
        </w:rPr>
        <w:t xml:space="preserve">WACC construction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Input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Note</w:t>
            </w:r>
          </w:p>
        </w:tc>
      </w:tr>
      <w:tr>
        <w:tc>
          <w:tcPr>
            <w:tcW w:type="dxa" w:w="3600"/>
          </w:tcPr>
          <w:p>
            <w:r>
              <w:t xml:space="preserve">Risk-free</w:t>
            </w:r>
          </w:p>
        </w:tc>
        <w:tc>
          <w:tcPr>
            <w:tcW w:type="dxa" w:w="3600"/>
          </w:tcPr>
          <w:p>
            <w:r>
              <w:t xml:space="preserve">5.14%</w:t>
            </w:r>
          </w:p>
        </w:tc>
        <w:tc>
          <w:tcPr>
            <w:tcW w:type="dxa" w:w="3600"/>
          </w:tcPr>
          <w:p>
            <w:r>
              <w:t xml:space="preserve">US 10Y (macro_report_2026-09-24). CSTM reports in USD and its US assets are the growth engine</w:t>
            </w:r>
          </w:p>
        </w:tc>
      </w:tr>
      <w:tr>
        <w:tc>
          <w:tcPr>
            <w:tcW w:type="dxa" w:w="3600"/>
          </w:tcPr>
          <w:p>
            <w:r>
              <w:t xml:space="preserve">ERP</w:t>
            </w:r>
          </w:p>
        </w:tc>
        <w:tc>
          <w:tcPr>
            <w:tcW w:type="dxa" w:w="3600"/>
          </w:tcPr>
          <w:p>
            <w:r>
              <w:t xml:space="preserve">4.5%</w:t>
            </w:r>
          </w:p>
        </w:tc>
        <w:tc>
          <w:tcPr>
            <w:tcW w:type="dxa" w:w="3600"/>
          </w:tcPr>
          <w:p>
            <w:r>
              <w:t xml:space="preserve">Agent default</w:t>
            </w:r>
          </w:p>
        </w:tc>
      </w:tr>
      <w:tr>
        <w:tc>
          <w:tcPr>
            <w:tcW w:type="dxa" w:w="3600"/>
          </w:tcPr>
          <w:p>
            <w:r>
              <w:t xml:space="preserve">Beta</w:t>
            </w:r>
          </w:p>
        </w:tc>
        <w:tc>
          <w:tcPr>
            <w:tcW w:type="dxa" w:w="3600"/>
          </w:tcPr>
          <w:p>
            <w:r>
              <w:t xml:space="preserve">1.55</w:t>
            </w:r>
          </w:p>
        </w:tc>
        <w:tc>
          <w:tcPr>
            <w:tcW w:type="dxa" w:w="3600"/>
          </w:tcPr>
          <w:p>
            <w:r>
              <w:t xml:space="preserve">yfinance</w:t>
            </w:r>
          </w:p>
        </w:tc>
      </w:tr>
      <w:tr>
        <w:tc>
          <w:tcPr>
            <w:tcW w:type="dxa" w:w="3600"/>
          </w:tcPr>
          <w:p>
            <w:r>
              <w:t xml:space="preserve">Cost of equity</w:t>
            </w:r>
          </w:p>
        </w:tc>
        <w:tc>
          <w:tcPr>
            <w:tcW w:type="dxa" w:w="3600"/>
          </w:tcPr>
          <w:p>
            <w:r>
              <w:t xml:space="preserve">12.1%</w:t>
            </w:r>
          </w:p>
        </w:tc>
        <w:tc>
          <w:tcPr>
            <w:tcW w:type="dxa" w:w="3600"/>
          </w:tcPr>
          <w:p>
            <w:r>
              <w:t xml:space="preserve">5.14% + 1.55 × 4.5%</w:t>
            </w:r>
          </w:p>
        </w:tc>
      </w:tr>
      <w:tr>
        <w:tc>
          <w:tcPr>
            <w:tcW w:type="dxa" w:w="3600"/>
          </w:tcPr>
          <w:p>
            <w:r>
              <w:t xml:space="preserve">Pre-tax cost of debt</w:t>
            </w:r>
          </w:p>
        </w:tc>
        <w:tc>
          <w:tcPr>
            <w:tcW w:type="dxa" w:w="3600"/>
          </w:tcPr>
          <w:p>
            <w:r>
              <w:t xml:space="preserve">~6.5%</w:t>
            </w:r>
          </w:p>
        </w:tc>
        <w:tc>
          <w:tcPr>
            <w:tcW w:type="dxa" w:w="3600"/>
          </w:tcPr>
          <w:p>
            <w:r>
              <w:t xml:space="preserve">Senior-notes range [EST]</w:t>
            </w:r>
          </w:p>
        </w:tc>
      </w:tr>
      <w:tr>
        <w:tc>
          <w:tcPr>
            <w:tcW w:type="dxa" w:w="3600"/>
          </w:tcPr>
          <w:p>
            <w:r>
              <w:t xml:space="preserve">After-tax cost of debt</w:t>
            </w:r>
          </w:p>
        </w:tc>
        <w:tc>
          <w:tcPr>
            <w:tcW w:type="dxa" w:w="3600"/>
          </w:tcPr>
          <w:p>
            <w:r>
              <w:t xml:space="preserve">4.9%</w:t>
            </w:r>
          </w:p>
        </w:tc>
        <w:tc>
          <w:tcPr>
            <w:tcW w:type="dxa" w:w="3600"/>
          </w:tcPr>
          <w:p>
            <w:r>
              <w:t xml:space="preserve">25% tax</w:t>
            </w:r>
          </w:p>
        </w:tc>
      </w:tr>
      <w:tr>
        <w:tc>
          <w:tcPr>
            <w:tcW w:type="dxa" w:w="3600"/>
          </w:tcPr>
          <w:p>
            <w:r>
              <w:t xml:space="preserve">E/V : D/V (market)</w:t>
            </w:r>
          </w:p>
        </w:tc>
        <w:tc>
          <w:tcPr>
            <w:tcW w:type="dxa" w:w="3600"/>
          </w:tcPr>
          <w:p>
            <w:r>
              <w:t xml:space="preserve">63.5% : 36.5%</w:t>
            </w:r>
          </w:p>
        </w:tc>
        <w:tc>
          <w:tcPr>
            <w:tcW w:type="dxa" w:w="3600"/>
          </w:tcPr>
          <w:p>
            <w:r>
              <w:t xml:space="preserve">$3.34B equity; $1.92B gross debt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9.5%</w:t>
            </w:r>
          </w:p>
        </w:tc>
        <w:tc>
          <w:tcPr>
            <w:tcW w:type="dxa" w:w="3600"/>
          </w:tcPr>
          <w:p>
            <w:r>
              <w:t xml:space="preserve">Stress case 10.5%</w:t>
            </w:r>
          </w:p>
        </w:tc>
      </w:tr>
    </w:tbl>
    <w:p>
      <w:r>
        <w:rPr>
          <w:b/>
          <w:bCs/>
        </w:rPr>
        <w:t xml:space="preserve">Scenario inputs</w:t>
      </w:r>
      <w:r>
        <w:t xml:space="preserve"> (base-year revenue TTM $9.58B; NOPLAT = after-tax EBIT; terminal g 2%, terminal ROIC fading to 11%):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D9D9" w:val="clear"/>
          </w:tcPr>
          <w:p>
            <w:r>
              <w:t xml:space="preserve">Scenario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Revenue growth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NOPLAT margin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Yr-10 revenue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Yr-10 NOPLAT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Incremental ROIC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Value/share (9.5%)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€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Value/share (10.5%)</w:t>
            </w:r>
          </w:p>
        </w:tc>
      </w:tr>
      <w:tr>
        <w:tc>
          <w:tcPr>
            <w:tcW w:type="dxa" w:w="1200"/>
          </w:tcPr>
          <w:p>
            <w:r>
              <w:t xml:space="preserve">Bear</w:t>
            </w:r>
          </w:p>
        </w:tc>
        <w:tc>
          <w:tcPr>
            <w:tcW w:type="dxa" w:w="1200"/>
          </w:tcPr>
          <w:p>
            <w:r>
              <w:t xml:space="preserve">0% for 5 yrs, then 0.4–2%</w:t>
            </w:r>
          </w:p>
        </w:tc>
        <w:tc>
          <w:tcPr>
            <w:tcW w:type="dxa" w:w="1200"/>
          </w:tcPr>
          <w:p>
            <w:r>
              <w:t xml:space="preserve">3.6% (≈ FY23–24 mid-cycle)</w:t>
            </w:r>
          </w:p>
        </w:tc>
        <w:tc>
          <w:tcPr>
            <w:tcW w:type="dxa" w:w="1200"/>
          </w:tcPr>
          <w:p>
            <w:r>
              <w:t xml:space="preserve">$10.17B</w:t>
            </w:r>
          </w:p>
        </w:tc>
        <w:tc>
          <w:tcPr>
            <w:tcW w:type="dxa" w:w="1200"/>
          </w:tcPr>
          <w:p>
            <w:r>
              <w:t xml:space="preserve">$366M</w:t>
            </w:r>
          </w:p>
        </w:tc>
        <w:tc>
          <w:tcPr>
            <w:tcW w:type="dxa" w:w="1200"/>
          </w:tcPr>
          <w:p>
            <w:r>
              <w:t xml:space="preserve">10%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$14.56</w:t>
            </w:r>
          </w:p>
        </w:tc>
        <w:tc>
          <w:tcPr>
            <w:tcW w:type="dxa" w:w="1200"/>
          </w:tcPr>
          <w:p>
            <w:r>
              <w:t xml:space="preserve">€12.78</w:t>
            </w:r>
          </w:p>
        </w:tc>
        <w:tc>
          <w:tcPr>
            <w:tcW w:type="dxa" w:w="1200"/>
          </w:tcPr>
          <w:p>
            <w:r>
              <w:t xml:space="preserve">$11.57</w:t>
            </w:r>
          </w:p>
        </w:tc>
      </w:tr>
      <w:tr>
        <w:tc>
          <w:tcPr>
            <w:tcW w:type="dxa" w:w="1200"/>
          </w:tcPr>
          <w:p>
            <w:r>
              <w:t xml:space="preserve">Base</w:t>
            </w:r>
          </w:p>
        </w:tc>
        <w:tc>
          <w:tcPr>
            <w:tcW w:type="dxa" w:w="1200"/>
          </w:tcPr>
          <w:p>
            <w:r>
              <w:t xml:space="preserve">3% fading to 2.5%</w:t>
            </w:r>
          </w:p>
        </w:tc>
        <w:tc>
          <w:tcPr>
            <w:tcW w:type="dxa" w:w="1200"/>
          </w:tcPr>
          <w:p>
            <w:r>
              <w:t xml:space="preserve">5.0% → 4.8% (≈ $900–950M EBITDA)</w:t>
            </w:r>
          </w:p>
        </w:tc>
        <w:tc>
          <w:tcPr>
            <w:tcW w:type="dxa" w:w="1200"/>
          </w:tcPr>
          <w:p>
            <w:r>
              <w:t xml:space="preserve">$12.69B</w:t>
            </w:r>
          </w:p>
        </w:tc>
        <w:tc>
          <w:tcPr>
            <w:tcW w:type="dxa" w:w="1200"/>
          </w:tcPr>
          <w:p>
            <w:r>
              <w:t xml:space="preserve">$609M</w:t>
            </w:r>
          </w:p>
        </w:tc>
        <w:tc>
          <w:tcPr>
            <w:tcW w:type="dxa" w:w="1200"/>
          </w:tcPr>
          <w:p>
            <w:r>
              <w:t xml:space="preserve">13%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$26.50</w:t>
            </w:r>
          </w:p>
        </w:tc>
        <w:tc>
          <w:tcPr>
            <w:tcW w:type="dxa" w:w="1200"/>
          </w:tcPr>
          <w:p>
            <w:r>
              <w:t xml:space="preserve">€23.27</w:t>
            </w:r>
          </w:p>
        </w:tc>
        <w:tc>
          <w:tcPr>
            <w:tcW w:type="dxa" w:w="1200"/>
          </w:tcPr>
          <w:p>
            <w:r>
              <w:t xml:space="preserve">$21.72</w:t>
            </w:r>
          </w:p>
        </w:tc>
      </w:tr>
      <w:tr>
        <w:tc>
          <w:tcPr>
            <w:tcW w:type="dxa" w:w="1200"/>
          </w:tcPr>
          <w:p>
            <w:r>
              <w:t xml:space="preserve">Bull</w:t>
            </w:r>
          </w:p>
        </w:tc>
        <w:tc>
          <w:tcPr>
            <w:tcW w:type="dxa" w:w="1200"/>
          </w:tcPr>
          <w:p>
            <w:r>
              <w:t xml:space="preserve">5% fading to 3%</w:t>
            </w:r>
          </w:p>
        </w:tc>
        <w:tc>
          <w:tcPr>
            <w:tcW w:type="dxa" w:w="1200"/>
          </w:tcPr>
          <w:p>
            <w:r>
              <w:t xml:space="preserve">5.6% (FY26-guide run-rate held)</w:t>
            </w:r>
          </w:p>
        </w:tc>
        <w:tc>
          <w:tcPr>
            <w:tcW w:type="dxa" w:w="1200"/>
          </w:tcPr>
          <w:p>
            <w:r>
              <w:t xml:space="preserve">$14.73B</w:t>
            </w:r>
          </w:p>
        </w:tc>
        <w:tc>
          <w:tcPr>
            <w:tcW w:type="dxa" w:w="1200"/>
          </w:tcPr>
          <w:p>
            <w:r>
              <w:t xml:space="preserve">$825M</w:t>
            </w:r>
          </w:p>
        </w:tc>
        <w:tc>
          <w:tcPr>
            <w:tcW w:type="dxa" w:w="1200"/>
          </w:tcPr>
          <w:p>
            <w:r>
              <w:t xml:space="preserve">16%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$36.87</w:t>
            </w:r>
          </w:p>
        </w:tc>
        <w:tc>
          <w:tcPr>
            <w:tcW w:type="dxa" w:w="1200"/>
          </w:tcPr>
          <w:p>
            <w:r>
              <w:t xml:space="preserve">€32.37</w:t>
            </w:r>
          </w:p>
        </w:tc>
        <w:tc>
          <w:tcPr>
            <w:tcW w:type="dxa" w:w="1200"/>
          </w:tcPr>
          <w:p>
            <w:r>
              <w:t xml:space="preserve">$30.51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Terminal value is 51% of EV (Base). That is low-to-moderate rate sensitivity for this agent.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MoS Gate: BASE</w:t>
      </w:r>
      <w:r>
        <w:t xml:space="preserve"> at 9.5% ($24.63 &lt; $26.50, a 7% cushion). </w:t>
      </w:r>
      <w:r>
        <w:rPr>
          <w:b/>
          <w:bCs/>
        </w:rPr>
        <w:t xml:space="preserve">NONE at 10.5%.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Exit-multiple cross-check (Method 2):</w:t>
      </w:r>
      <w:r>
        <w:t xml:space="preserve"> the Base case's implied exit multiple is ~5.1× year-10 EBITDA. At a 6.5× peer multiple (rolled-products peers trade ~5–9×), Base becomes ≈ $31.9. That is a +20% divergence, inside the 30% tolerance, so the DCF is conservative but consistent.</w:t>
      </w:r>
    </w:p>
    <w:p>
      <w:r>
        <w:rPr>
          <w:b/>
          <w:bCs/>
        </w:rPr>
        <w:t xml:space="preserve">Sensitivity (Benninga), Base case — WACC × terminal g: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WACC \ g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1%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2%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3%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4%</w:t>
            </w:r>
          </w:p>
        </w:tc>
      </w:tr>
      <w:tr>
        <w:tc>
          <w:tcPr>
            <w:tcW w:type="dxa" w:w="2160"/>
          </w:tcPr>
          <w:p>
            <w:r>
              <w:t xml:space="preserve">7.5%</w:t>
            </w:r>
          </w:p>
        </w:tc>
        <w:tc>
          <w:tcPr>
            <w:tcW w:type="dxa" w:w="2160"/>
          </w:tcPr>
          <w:p>
            <w:r>
              <w:t xml:space="preserve">$39.01</w:t>
            </w:r>
          </w:p>
        </w:tc>
        <w:tc>
          <w:tcPr>
            <w:tcW w:type="dxa" w:w="2160"/>
          </w:tcPr>
          <w:p>
            <w:r>
              <w:t xml:space="preserve">$41.30</w:t>
            </w:r>
          </w:p>
        </w:tc>
        <w:tc>
          <w:tcPr>
            <w:tcW w:type="dxa" w:w="2160"/>
          </w:tcPr>
          <w:p>
            <w:r>
              <w:t xml:space="preserve">$44.51</w:t>
            </w:r>
          </w:p>
        </w:tc>
        <w:tc>
          <w:tcPr>
            <w:tcW w:type="dxa" w:w="2160"/>
          </w:tcPr>
          <w:p>
            <w:r>
              <w:t xml:space="preserve">$49.45</w:t>
            </w:r>
          </w:p>
        </w:tc>
      </w:tr>
      <w:tr>
        <w:tc>
          <w:tcPr>
            <w:tcW w:type="dxa" w:w="2160"/>
          </w:tcPr>
          <w:p>
            <w:r>
              <w:t xml:space="preserve">8.5%</w:t>
            </w:r>
          </w:p>
        </w:tc>
        <w:tc>
          <w:tcPr>
            <w:tcW w:type="dxa" w:w="2160"/>
          </w:tcPr>
          <w:p>
            <w:r>
              <w:t xml:space="preserve">$31.57</w:t>
            </w:r>
          </w:p>
        </w:tc>
        <w:tc>
          <w:tcPr>
            <w:tcW w:type="dxa" w:w="2160"/>
          </w:tcPr>
          <w:p>
            <w:r>
              <w:t xml:space="preserve">$32.75</w:t>
            </w:r>
          </w:p>
        </w:tc>
        <w:tc>
          <w:tcPr>
            <w:tcW w:type="dxa" w:w="2160"/>
          </w:tcPr>
          <w:p>
            <w:r>
              <w:t xml:space="preserve">$34.30</w:t>
            </w:r>
          </w:p>
        </w:tc>
        <w:tc>
          <w:tcPr>
            <w:tcW w:type="dxa" w:w="2160"/>
          </w:tcPr>
          <w:p>
            <w:r>
              <w:t xml:space="preserve">$36.47</w:t>
            </w:r>
          </w:p>
        </w:tc>
      </w:tr>
      <w:tr>
        <w:tc>
          <w:tcPr>
            <w:tcW w:type="dxa" w:w="2160"/>
          </w:tcPr>
          <w:p>
            <w:r>
              <w:t xml:space="preserve">9.5%</w:t>
            </w:r>
          </w:p>
        </w:tc>
        <w:tc>
          <w:tcPr>
            <w:tcW w:type="dxa" w:w="2160"/>
          </w:tcPr>
          <w:p>
            <w:r>
              <w:t xml:space="preserve">$25.91</w:t>
            </w:r>
          </w:p>
        </w:tc>
        <w:tc>
          <w:tcPr>
            <w:tcW w:type="dxa" w:w="2160"/>
          </w:tcPr>
          <w:p>
            <w:r>
              <w:rPr>
                <w:b/>
                <w:bCs/>
              </w:rPr>
              <w:t xml:space="preserve">$26.50</w:t>
            </w:r>
          </w:p>
        </w:tc>
        <w:tc>
          <w:tcPr>
            <w:tcW w:type="dxa" w:w="2160"/>
          </w:tcPr>
          <w:p>
            <w:r>
              <w:t xml:space="preserve">$27.22</w:t>
            </w:r>
          </w:p>
        </w:tc>
        <w:tc>
          <w:tcPr>
            <w:tcW w:type="dxa" w:w="2160"/>
          </w:tcPr>
          <w:p>
            <w:r>
              <w:t xml:space="preserve">$28.14</w:t>
            </w:r>
          </w:p>
        </w:tc>
      </w:tr>
      <w:tr>
        <w:tc>
          <w:tcPr>
            <w:tcW w:type="dxa" w:w="2160"/>
          </w:tcPr>
          <w:p>
            <w:r>
              <w:t xml:space="preserve">10.5%</w:t>
            </w:r>
          </w:p>
        </w:tc>
        <w:tc>
          <w:tcPr>
            <w:tcW w:type="dxa" w:w="2160"/>
          </w:tcPr>
          <w:p>
            <w:r>
              <w:t xml:space="preserve">$21.47</w:t>
            </w:r>
          </w:p>
        </w:tc>
        <w:tc>
          <w:tcPr>
            <w:tcW w:type="dxa" w:w="2160"/>
          </w:tcPr>
          <w:p>
            <w:r>
              <w:t xml:space="preserve">$21.72</w:t>
            </w:r>
          </w:p>
        </w:tc>
        <w:tc>
          <w:tcPr>
            <w:tcW w:type="dxa" w:w="2160"/>
          </w:tcPr>
          <w:p>
            <w:r>
              <w:t xml:space="preserve">$22.00</w:t>
            </w:r>
          </w:p>
        </w:tc>
        <w:tc>
          <w:tcPr>
            <w:tcW w:type="dxa" w:w="2160"/>
          </w:tcPr>
          <w:p>
            <w:r>
              <w:t xml:space="preserve">$22.33</w:t>
            </w:r>
          </w:p>
        </w:tc>
      </w:tr>
    </w:tbl>
    <w:p>
      <w:r>
        <w:rPr>
          <w:b/>
          <w:bCs/>
        </w:rPr>
        <w:t xml:space="preserve">Growth multiplier × NOPLAT margin shift</w:t>
      </w:r>
      <w:r>
        <w:t xml:space="preserve"> (WACC 9.5%):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Growth \ margin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−300bp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−150bp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Base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+200bp</w:t>
            </w:r>
          </w:p>
        </w:tc>
      </w:tr>
      <w:tr>
        <w:tc>
          <w:tcPr>
            <w:tcW w:type="dxa" w:w="2160"/>
          </w:tcPr>
          <w:p>
            <w:r>
              <w:t xml:space="preserve">×0.7</w:t>
            </w:r>
          </w:p>
        </w:tc>
        <w:tc>
          <w:tcPr>
            <w:tcW w:type="dxa" w:w="2160"/>
          </w:tcPr>
          <w:p>
            <w:r>
              <w:t xml:space="preserve">$1.63</w:t>
            </w:r>
          </w:p>
        </w:tc>
        <w:tc>
          <w:tcPr>
            <w:tcW w:type="dxa" w:w="2160"/>
          </w:tcPr>
          <w:p>
            <w:r>
              <w:t xml:space="preserve">$13.64</w:t>
            </w:r>
          </w:p>
        </w:tc>
        <w:tc>
          <w:tcPr>
            <w:tcW w:type="dxa" w:w="2160"/>
          </w:tcPr>
          <w:p>
            <w:r>
              <w:t xml:space="preserve">$25.65</w:t>
            </w:r>
          </w:p>
        </w:tc>
        <w:tc>
          <w:tcPr>
            <w:tcW w:type="dxa" w:w="2160"/>
          </w:tcPr>
          <w:p>
            <w:r>
              <w:t xml:space="preserve">$41.67</w:t>
            </w:r>
          </w:p>
        </w:tc>
      </w:tr>
      <w:tr>
        <w:tc>
          <w:tcPr>
            <w:tcW w:type="dxa" w:w="2160"/>
          </w:tcPr>
          <w:p>
            <w:r>
              <w:t xml:space="preserve">×1.0</w:t>
            </w:r>
          </w:p>
        </w:tc>
        <w:tc>
          <w:tcPr>
            <w:tcW w:type="dxa" w:w="2160"/>
          </w:tcPr>
          <w:p>
            <w:r>
              <w:t xml:space="preserve">$1.94</w:t>
            </w:r>
          </w:p>
        </w:tc>
        <w:tc>
          <w:tcPr>
            <w:tcW w:type="dxa" w:w="2160"/>
          </w:tcPr>
          <w:p>
            <w:r>
              <w:t xml:space="preserve">$14.22</w:t>
            </w:r>
          </w:p>
        </w:tc>
        <w:tc>
          <w:tcPr>
            <w:tcW w:type="dxa" w:w="2160"/>
          </w:tcPr>
          <w:p>
            <w:r>
              <w:t xml:space="preserve">$26.50</w:t>
            </w:r>
          </w:p>
        </w:tc>
        <w:tc>
          <w:tcPr>
            <w:tcW w:type="dxa" w:w="2160"/>
          </w:tcPr>
          <w:p>
            <w:r>
              <w:t xml:space="preserve">$42.87</w:t>
            </w:r>
          </w:p>
        </w:tc>
      </w:tr>
      <w:tr>
        <w:tc>
          <w:tcPr>
            <w:tcW w:type="dxa" w:w="2160"/>
          </w:tcPr>
          <w:p>
            <w:r>
              <w:t xml:space="preserve">×1.3</w:t>
            </w:r>
          </w:p>
        </w:tc>
        <w:tc>
          <w:tcPr>
            <w:tcW w:type="dxa" w:w="2160"/>
          </w:tcPr>
          <w:p>
            <w:r>
              <w:t xml:space="preserve">$2.26</w:t>
            </w:r>
          </w:p>
        </w:tc>
        <w:tc>
          <w:tcPr>
            <w:tcW w:type="dxa" w:w="2160"/>
          </w:tcPr>
          <w:p>
            <w:r>
              <w:t xml:space="preserve">$14.81</w:t>
            </w:r>
          </w:p>
        </w:tc>
        <w:tc>
          <w:tcPr>
            <w:tcW w:type="dxa" w:w="2160"/>
          </w:tcPr>
          <w:p>
            <w:r>
              <w:t xml:space="preserve">$27.37</w:t>
            </w:r>
          </w:p>
        </w:tc>
        <w:tc>
          <w:tcPr>
            <w:tcW w:type="dxa" w:w="2160"/>
          </w:tcPr>
          <w:p>
            <w:r>
              <w:t xml:space="preserve">$44.11</w:t>
            </w:r>
          </w:p>
        </w:tc>
      </w:tr>
    </w:tbl>
    <w:p>
      <w:r>
        <w:rPr>
          <w:b/>
          <w:bCs/>
        </w:rPr>
        <w:t xml:space="preserve">The margin row is the whole story.</w:t>
      </w:r>
      <w:r>
        <w:t xml:space="preserve"> 300bp of NOPLAT margin compression wipes out the equity value because of the $1.76B of net debt: this is operating and financial leverage combined. Growth barely matters.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r>
        <w:rPr>
          <w:b/>
          <w:bCs/>
        </w:rPr>
        <w:t xml:space="preserve">What the price needs:</w:t>
      </w:r>
      <w:r>
        <w:t xml:space="preserve"> at 3% growth, it implies a steady NOPLAT margin of: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4.6% at WACC 9.5%</w:t>
      </w:r>
      <w:r>
        <w:t xml:space="preserve">, ≈ </w:t>
      </w:r>
      <w:r>
        <w:rPr>
          <w:b/>
          <w:bCs/>
        </w:rPr>
        <w:t xml:space="preserve">$917M adj. EBITDA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4.0% at 8.5% (≈ $836M).</w:t>
      </w:r>
    </w:p>
    <w:p>
      <w:pPr>
        <w:pStyle w:val="ListParagraph"/>
        <w:numPr>
          <w:ilvl w:val="0"/>
          <w:numId w:val="1"/>
        </w:numPr>
      </w:pPr>
      <w:r>
        <w:t xml:space="preserve">5.2% at 10.5% (≈ $998M).</w:t>
      </w:r>
    </w:p>
    <w:p>
      <w:r>
        <w:rPr>
          <w:b/>
          <w:bCs/>
        </w:rPr>
        <w:t xml:space="preserve">Against the base rates:</w:t>
      </w:r>
    </w:p>
    <w:p>
      <w:pPr>
        <w:pStyle w:val="ListParagraph"/>
        <w:numPr>
          <w:ilvl w:val="0"/>
          <w:numId w:val="1"/>
        </w:numPr>
      </w:pPr>
      <w:r>
        <w:t xml:space="preserve">The FY26 guide is $980M–1.02B, but that is a record, scrap-spread-assisted year.</w:t>
      </w:r>
    </w:p>
    <w:p>
      <w:pPr>
        <w:pStyle w:val="ListParagraph"/>
        <w:numPr>
          <w:ilvl w:val="0"/>
          <w:numId w:val="1"/>
        </w:numPr>
      </w:pPr>
      <w:r>
        <w:t xml:space="preserve">Management's own 2028 target is $900M.</w:t>
      </w:r>
    </w:p>
    <w:p>
      <w:pPr>
        <w:pStyle w:val="ListParagraph"/>
        <w:numPr>
          <w:ilvl w:val="0"/>
          <w:numId w:val="1"/>
        </w:numPr>
      </w:pPr>
      <w:r>
        <w:t xml:space="preserve">FY22–FY24 reported EBITDA was only $539–639M, though that is not ex-lag and includes restructuring.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market is pricing the 2028 target, held in perpetuity.</w:t>
      </w:r>
      <w:r>
        <w:t xml:space="preserve"> That is ≈1× the new base rate, not a stretch. It still assumes the 2025–26 step-up in conversion economics (tariffs, recycling, aerospace) is mostly structural.</w:t>
      </w:r>
    </w:p>
    <w:p>
      <w:r>
        <w:rPr>
          <w:b/>
          <w:bCs/>
        </w:rPr>
        <w:t xml:space="preserve">What has to be true:</w:t>
      </w:r>
    </w:p>
    <w:p>
      <w:r>
        <w:t xml:space="preserve">1. Adj. EBITDA ex-lag holds ≥ ~$900M through the cycle.</w:t>
      </w:r>
    </w:p>
    <w:p>
      <w:r>
        <w:t xml:space="preserve">2. Capex projects (Muscle Shoals, Ravenswood) deliver &gt;15% IRR.</w:t>
      </w:r>
    </w:p>
    <w:p>
      <w:r>
        <w:t xml:space="preserve">3. Tariff protection on North American rolled products persists.</w:t>
      </w:r>
    </w:p>
    <w:p>
      <w:r>
        <w:rPr>
          <w:b/>
          <w:bCs/>
        </w:rPr>
        <w:t xml:space="preserve">Moat and CAP:</w:t>
      </w:r>
    </w:p>
    <w:p>
      <w:pPr>
        <w:pStyle w:val="ListParagraph"/>
        <w:numPr>
          <w:ilvl w:val="0"/>
          <w:numId w:val="1"/>
        </w:numPr>
      </w:pPr>
      <w:r>
        <w:t xml:space="preserve">Intangible and qualification moat in aerospace (Airware alloys, multi-year OEM qualification = switching costs), plus a cost advantage from recycling.</w:t>
      </w:r>
    </w:p>
    <w:p>
      <w:pPr>
        <w:pStyle w:val="ListParagraph"/>
        <w:numPr>
          <w:ilvl w:val="0"/>
          <w:numId w:val="1"/>
        </w:numPr>
      </w:pPr>
      <w:r>
        <w:t xml:space="preserve">Can stock and extrusions are close to no-moat.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Blended narrow moat; CAP ~3–7 years.</w:t>
      </w:r>
      <w:r>
        <w:t xml:space="preserve"> The aerospace part is earned; the recycling advantage is conditional on scrap spreads.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Margins:</w:t>
      </w:r>
      <w:r>
        <w:t xml:space="preserve"> positive. Gross margin went from 11.3% (FY22) to 16.3% (TTM). EBITDA/ton ex-lag nearly doubled YoY. Management frames H2 as a taper, so the peak is likely near.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#11 Competitive edge:</w:t>
      </w:r>
      <w:r>
        <w:t xml:space="preserve"> positive in A&amp;T (record aerospace backlog; 21% shipment growth). Neutral in P&amp;ARP and AS&amp;I.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#12 Short vs long-term outlook:</w:t>
      </w:r>
      <w:r>
        <w:t xml:space="preserve"> the short term is peak-ish. The long term depends on capex projects and tariff durability.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Equity financing:</w:t>
      </w:r>
      <w:r>
        <w:t xml:space="preserve"> positive. There is none; share count is falling via buybacks at ~5× EBITDA.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#14/#15 Disclosure:</w:t>
      </w:r>
      <w:r>
        <w:t xml:space="preserve"> positive. Metal-lag is separated clearly from underlying EBITDA, and guidance was raised with explicit caveats about the H2 taper. No integrity flags found.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D9D9D9" w:val="clear"/>
          </w:tcPr>
          <w:p>
            <w:r>
              <w:t xml:space="preserve">Factor</w:t>
            </w:r>
          </w:p>
        </w:tc>
        <w:tc>
          <w:tcPr>
            <w:tcW w:type="dxa" w:w="54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5400"/>
          </w:tcPr>
          <w:p>
            <w:r>
              <w:t xml:space="preserve">Value</w:t>
            </w:r>
          </w:p>
        </w:tc>
        <w:tc>
          <w:tcPr>
            <w:tcW w:type="dxa" w:w="5400"/>
          </w:tcPr>
          <w:p>
            <w:r>
              <w:rPr>
                <w:b/>
                <w:bCs/>
              </w:rPr>
              <w:t xml:space="preserve">Strongly present.</w:t>
            </w:r>
            <w:r>
              <w:t xml:space="preserve"> EV/EBITDA 4.3× TTM (5.1× on the FY26 guide), FCF yield ~9% on the &gt;$300M guide</w:t>
            </w:r>
          </w:p>
        </w:tc>
      </w:tr>
      <w:tr>
        <w:tc>
          <w:tcPr>
            <w:tcW w:type="dxa" w:w="5400"/>
          </w:tcPr>
          <w:p>
            <w:r>
              <w:t xml:space="preserve">Quality</w:t>
            </w:r>
          </w:p>
        </w:tc>
        <w:tc>
          <w:tcPr>
            <w:tcW w:type="dxa" w:w="5400"/>
          </w:tcPr>
          <w:p>
            <w:r>
              <w:t xml:space="preserve">Weak to moderate. ROIC 8–12% (≈WACC), thin equity, leverage 1.8×</w:t>
            </w:r>
          </w:p>
        </w:tc>
      </w:tr>
      <w:tr>
        <w:tc>
          <w:tcPr>
            <w:tcW w:type="dxa" w:w="5400"/>
          </w:tcPr>
          <w:p>
            <w:r>
              <w:t xml:space="preserve">Momentum</w:t>
            </w:r>
          </w:p>
        </w:tc>
        <w:tc>
          <w:tcPr>
            <w:tcW w:type="dxa" w:w="5400"/>
          </w:tcPr>
          <w:p>
            <w:r>
              <w:t xml:space="preserve">Broken intermediate trend. 12-1 month +76%, 3-month −27%, below the 200-day average</w:t>
            </w:r>
          </w:p>
        </w:tc>
      </w:tr>
      <w:tr>
        <w:tc>
          <w:tcPr>
            <w:tcW w:type="dxa" w:w="5400"/>
          </w:tcPr>
          <w:p>
            <w:r>
              <w:t xml:space="preserve">Low Beta</w:t>
            </w:r>
          </w:p>
        </w:tc>
        <w:tc>
          <w:tcPr>
            <w:tcW w:type="dxa" w:w="5400"/>
          </w:tcPr>
          <w:p>
            <w:r>
              <w:t xml:space="preserve">Absent. Beta 1.55</w:t>
            </w:r>
          </w:p>
        </w:tc>
      </w:tr>
    </w:tbl>
    <w:p>
      <w:r>
        <w:rPr>
          <w:b/>
          <w:bCs/>
        </w:rPr>
        <w:t xml:space="preserve">Net:</w:t>
      </w:r>
      <w:r>
        <w:t xml:space="preserve"> a single-factor (value) bet. Ilmanen flags that as a value-trap risk if the quality factor doesn't confirm, meaning if ROIC slips back below WACC as spreads normalise.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Criterion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Result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Evidence</w:t>
            </w:r>
          </w:p>
        </w:tc>
      </w:tr>
      <w:tr>
        <w:tc>
          <w:tcPr>
            <w:tcW w:type="dxa" w:w="3600"/>
          </w:tcPr>
          <w:p>
            <w:r>
              <w:t xml:space="preserve">ROIC 5-yr avg &gt; 15%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8.6 / 10.9 / 7.8 / 12.3% FY22–25 (avg ~9.9%)</w:t>
            </w:r>
          </w:p>
        </w:tc>
      </w:tr>
      <w:tr>
        <w:tc>
          <w:tcPr>
            <w:tcW w:type="dxa" w:w="3600"/>
          </w:tcPr>
          <w:p>
            <w:r>
              <w:t xml:space="preserve">ROIC trend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Improving: FY24 7.8% → FY25 12.3% → higher in FY26</w:t>
            </w:r>
          </w:p>
        </w:tc>
      </w:tr>
      <w:tr>
        <w:tc>
          <w:tcPr>
            <w:tcW w:type="dxa" w:w="3600"/>
          </w:tcPr>
          <w:p>
            <w:r>
              <w:t xml:space="preserve">Operating margin &gt; 15%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5.6% FY25; 8.9% TTM</w:t>
            </w:r>
          </w:p>
        </w:tc>
      </w:tr>
      <w:tr>
        <w:tc>
          <w:tcPr>
            <w:tcW w:type="dxa" w:w="3600"/>
          </w:tcPr>
          <w:p>
            <w:r>
              <w:t xml:space="preserve">FCF conversion &gt; 80%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FY25 FCF $159M / NI $273M = 58%. FY26 guide &gt;$300M would pass</w:t>
            </w:r>
          </w:p>
        </w:tc>
      </w:tr>
      <w:tr>
        <w:tc>
          <w:tcPr>
            <w:tcW w:type="dxa" w:w="3600"/>
          </w:tcPr>
          <w:p>
            <w:r>
              <w:t xml:space="preserve">CapEx/revenue &lt; 10%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3.9% FY25</w:t>
            </w:r>
          </w:p>
        </w:tc>
      </w:tr>
      <w:tr>
        <w:tc>
          <w:tcPr>
            <w:tcW w:type="dxa" w:w="3600"/>
          </w:tcPr>
          <w:p>
            <w:r>
              <w:t xml:space="preserve">Self-funded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No issuance; shares −7.7% since FY23</w:t>
            </w:r>
          </w:p>
        </w:tc>
      </w:tr>
      <w:tr>
        <w:tc>
          <w:tcPr>
            <w:tcW w:type="dxa" w:w="3600"/>
          </w:tcPr>
          <w:p>
            <w:r>
              <w:t xml:space="preserve">Management ownership</w:t>
            </w:r>
          </w:p>
        </w:tc>
        <w:tc>
          <w:tcPr>
            <w:tcW w:type="dxa" w:w="3600"/>
          </w:tcPr>
          <w:p>
            <w:r>
              <w:t xml:space="preserve">✅ Pass (marginal)</w:t>
            </w:r>
          </w:p>
        </w:tc>
        <w:tc>
          <w:tcPr>
            <w:tcW w:type="dxa" w:w="3600"/>
          </w:tcPr>
          <w:p>
            <w:r>
              <w:t xml:space="preserve">Insiders ~3%</w:t>
            </w:r>
          </w:p>
        </w:tc>
      </w:tr>
      <w:tr>
        <w:tc>
          <w:tcPr>
            <w:tcW w:type="dxa" w:w="3600"/>
          </w:tcPr>
          <w:p>
            <w:r>
              <w:t xml:space="preserve">Buyback discipline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$115M FY25 and $48M H1-26 at ~5× EBITDA, below intrinsic value on Base</w:t>
            </w:r>
          </w:p>
        </w:tc>
      </w:tr>
      <w:tr>
        <w:tc>
          <w:tcPr>
            <w:tcW w:type="dxa" w:w="3600"/>
          </w:tcPr>
          <w:p>
            <w:r>
              <w:t xml:space="preserve">M&amp;A discipline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Goodwill+intangibles $135M = 2.5% of assets</w:t>
            </w:r>
          </w:p>
        </w:tc>
      </w:tr>
    </w:tbl>
    <w:p>
      <w:r>
        <w:rPr>
          <w:b/>
          <w:bCs/>
        </w:rPr>
        <w:t xml:space="preserve">6/9 → QUALITY.</w:t>
      </w:r>
      <w:r>
        <w:t xml:space="preserve"> It is not a COMPOUNDER: ROIC has not been structurally above 15%.</w:t>
      </w:r>
    </w:p>
    <w:p>
      <w:r>
        <w:rPr>
          <w:b/>
          <w:bCs/>
        </w:rPr>
        <w:t xml:space="preserve">Capital allocation (Thorndike):</w:t>
      </w:r>
    </w:p>
    <w:p>
      <w:pPr>
        <w:pStyle w:val="ListParagraph"/>
        <w:numPr>
          <w:ilvl w:val="0"/>
          <w:numId w:val="1"/>
        </w:numPr>
      </w:pPr>
      <w:r>
        <w:t xml:space="preserve">Buybacks cheap: good.</w:t>
      </w:r>
    </w:p>
    <w:p>
      <w:pPr>
        <w:pStyle w:val="ListParagraph"/>
        <w:numPr>
          <w:ilvl w:val="0"/>
          <w:numId w:val="1"/>
        </w:numPr>
      </w:pPr>
      <w:r>
        <w:t xml:space="preserve">Debt reduced from 3.8× to 1.8×: good.</w:t>
      </w:r>
    </w:p>
    <w:p>
      <w:pPr>
        <w:pStyle w:val="ListParagraph"/>
        <w:numPr>
          <w:ilvl w:val="0"/>
          <w:numId w:val="1"/>
        </w:numPr>
      </w:pPr>
      <w:r>
        <w:t xml:space="preserve">Reinvestment at a targeted &gt;15% IRR: good if delivered.</w:t>
      </w:r>
    </w:p>
    <w:p>
      <w:pPr>
        <w:pStyle w:val="Heading2"/>
        <w:spacing w:after="120" w:before="240"/>
      </w:pPr>
      <w:r>
        <w:t xml:space="preserve">10. Sector Appendix — Mining &amp; Metals (processing) / Chemicals commodity-vs-specialty cross-check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Current 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3600"/>
          </w:tcPr>
          <w:p>
            <w:r>
              <w:t xml:space="preserve">EV/EBITDA (TTM reported)</w:t>
            </w:r>
          </w:p>
        </w:tc>
        <w:tc>
          <w:tcPr>
            <w:tcW w:type="dxa" w:w="3600"/>
          </w:tcPr>
          <w:p>
            <w:r>
              <w:t xml:space="preserve">4.3×</w:t>
            </w:r>
          </w:p>
        </w:tc>
        <w:tc>
          <w:tcPr>
            <w:tcW w:type="dxa" w:w="3600"/>
          </w:tcPr>
          <w:p>
            <w:r>
              <w:t xml:space="preserve">Commodity-chemicals band (5–8×) or below: cheap</w:t>
            </w:r>
          </w:p>
        </w:tc>
      </w:tr>
      <w:tr>
        <w:tc>
          <w:tcPr>
            <w:tcW w:type="dxa" w:w="3600"/>
          </w:tcPr>
          <w:p>
            <w:r>
              <w:t xml:space="preserve">EV/EBITDA on FY26 guide ex-lag ($1.0B)</w:t>
            </w:r>
          </w:p>
        </w:tc>
        <w:tc>
          <w:tcPr>
            <w:tcW w:type="dxa" w:w="3600"/>
          </w:tcPr>
          <w:p>
            <w:r>
              <w:t xml:space="preserve">5.1×</w:t>
            </w:r>
          </w:p>
        </w:tc>
        <w:tc>
          <w:tcPr>
            <w:tcW w:type="dxa" w:w="3600"/>
          </w:tcPr>
          <w:p>
            <w:r>
              <w:t xml:space="preserve">Cheap vs a peer range of ~5–9×</w:t>
            </w:r>
          </w:p>
        </w:tc>
      </w:tr>
      <w:tr>
        <w:tc>
          <w:tcPr>
            <w:tcW w:type="dxa" w:w="3600"/>
          </w:tcPr>
          <w:p>
            <w:r>
              <w:t xml:space="preserve">Net debt / EBITDA</w:t>
            </w:r>
          </w:p>
        </w:tc>
        <w:tc>
          <w:tcPr>
            <w:tcW w:type="dxa" w:w="3600"/>
          </w:tcPr>
          <w:p>
            <w:r>
              <w:t xml:space="preserve">1.8× (company)</w:t>
            </w:r>
          </w:p>
        </w:tc>
        <w:tc>
          <w:tcPr>
            <w:tcW w:type="dxa" w:w="3600"/>
          </w:tcPr>
          <w:p>
            <w:r>
              <w:t xml:space="preserve">Moderate. Above the 1.5× "conservative" line</w:t>
            </w:r>
          </w:p>
        </w:tc>
      </w:tr>
      <w:tr>
        <w:tc>
          <w:tcPr>
            <w:tcW w:type="dxa" w:w="3600"/>
          </w:tcPr>
          <w:p>
            <w:r>
              <w:t xml:space="preserve">FCF yield (FY26 guide)</w:t>
            </w:r>
          </w:p>
        </w:tc>
        <w:tc>
          <w:tcPr>
            <w:tcW w:type="dxa" w:w="3600"/>
          </w:tcPr>
          <w:p>
            <w:r>
              <w:t xml:space="preserve">~9.0% (&gt;$300M / $3.34B)</w:t>
            </w:r>
          </w:p>
        </w:tc>
        <w:tc>
          <w:tcPr>
            <w:tcW w:type="dxa" w:w="3600"/>
          </w:tcPr>
          <w:p>
            <w:r>
              <w:t xml:space="preserve">Attractive (&gt; 8%)</w:t>
            </w:r>
          </w:p>
        </w:tc>
      </w:tr>
      <w:tr>
        <w:tc>
          <w:tcPr>
            <w:tcW w:type="dxa" w:w="3600"/>
          </w:tcPr>
          <w:p>
            <w:r>
              <w:t xml:space="preserve">Gross margin</w:t>
            </w:r>
          </w:p>
        </w:tc>
        <w:tc>
          <w:tcPr>
            <w:tcW w:type="dxa" w:w="3600"/>
          </w:tcPr>
          <w:p>
            <w:r>
              <w:t xml:space="preserve">16.3% TTM</w:t>
            </w:r>
          </w:p>
        </w:tc>
        <w:tc>
          <w:tcPr>
            <w:tcW w:type="dxa" w:w="3600"/>
          </w:tcPr>
          <w:p>
            <w:r>
              <w:t xml:space="preserve">Between commodity (&lt;20%) and specialty (&gt;35%): mixed profile</w:t>
            </w:r>
          </w:p>
        </w:tc>
      </w:tr>
      <w:tr>
        <w:tc>
          <w:tcPr>
            <w:tcW w:type="dxa" w:w="3600"/>
          </w:tcPr>
          <w:p>
            <w:r>
              <w:t xml:space="preserve">EBITDA/ton ex-lag</w:t>
            </w:r>
          </w:p>
        </w:tc>
        <w:tc>
          <w:tcPr>
            <w:tcW w:type="dxa" w:w="3600"/>
          </w:tcPr>
          <w:p>
            <w:r>
              <w:t xml:space="preserve">~$814/t (Q2-26) vs ~$430/t (Q2-25)</w:t>
            </w:r>
          </w:p>
        </w:tc>
        <w:tc>
          <w:tcPr>
            <w:tcW w:type="dxa" w:w="3600"/>
          </w:tcPr>
          <w:p>
            <w:r>
              <w:t xml:space="preserve">Record. Cycle-high risk</w:t>
            </w:r>
          </w:p>
        </w:tc>
      </w:tr>
      <w:tr>
        <w:tc>
          <w:tcPr>
            <w:tcW w:type="dxa" w:w="3600"/>
          </w:tcPr>
          <w:p>
            <w:r>
              <w:t xml:space="preserve">Dividend</w:t>
            </w:r>
          </w:p>
        </w:tc>
        <w:tc>
          <w:tcPr>
            <w:tcW w:type="dxa" w:w="3600"/>
          </w:tcPr>
          <w:p>
            <w:r>
              <w:t xml:space="preserve">None</w:t>
            </w:r>
          </w:p>
        </w:tc>
        <w:tc>
          <w:tcPr>
            <w:tcW w:type="dxa" w:w="3600"/>
          </w:tcPr>
          <w:p>
            <w:r>
              <w:t xml:space="preserve">Capital return via buybacks only</w:t>
            </w:r>
          </w:p>
        </w:tc>
      </w:tr>
      <w:tr>
        <w:tc>
          <w:tcPr>
            <w:tcW w:type="dxa" w:w="3600"/>
          </w:tcPr>
          <w:p>
            <w:r>
              <w:t xml:space="preserve">Capex projects IRR</w:t>
            </w:r>
          </w:p>
        </w:tc>
        <w:tc>
          <w:tcPr>
            <w:tcW w:type="dxa" w:w="3600"/>
          </w:tcPr>
          <w:p>
            <w:r>
              <w:t xml:space="preserve">&gt;15% target</w:t>
            </w:r>
          </w:p>
        </w:tc>
        <w:tc>
          <w:tcPr>
            <w:tcW w:type="dxa" w:w="3600"/>
          </w:tcPr>
          <w:p>
            <w:r>
              <w:t xml:space="preserve">Unproven until 2027–28</w:t>
            </w:r>
          </w:p>
        </w:tc>
      </w:tr>
    </w:tbl>
    <w:p>
      <w:pPr>
        <w:pStyle w:val="Heading2"/>
        <w:spacing w:after="120" w:before="240"/>
      </w:pPr>
      <w:r>
        <w:t xml:space="preserve">11. Five-Year Ratio Trend Analysis</w:t>
      </w:r>
    </w:p>
    <w:p>
      <w:r>
        <w:t xml:space="preserve">Only four fiscal years (FY22–FY25) plus TTM are available from the data source (yfinance). FY21 is not available and is not padded.</w:t>
      </w:r>
    </w:p>
    <w:p>
      <w:pPr>
        <w:pStyle w:val="Heading3"/>
        <w:spacing w:after="100" w:before="200"/>
      </w:pPr>
      <w:r>
        <w:t xml:space="preserve">Base Ratio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</w:t>
            </w:r>
          </w:p>
        </w:tc>
      </w:tr>
      <w:tr>
        <w:tc>
          <w:tcPr>
            <w:tcW w:type="dxa" w:w="1800"/>
          </w:tcPr>
          <w:p>
            <w:r>
              <w:t xml:space="preserve">Revenue</w:t>
            </w:r>
          </w:p>
        </w:tc>
        <w:tc>
          <w:tcPr>
            <w:tcW w:type="dxa" w:w="1800"/>
          </w:tcPr>
          <w:p>
            <w:r>
              <w:t xml:space="preserve">$8,532M</w:t>
            </w:r>
          </w:p>
        </w:tc>
        <w:tc>
          <w:tcPr>
            <w:tcW w:type="dxa" w:w="1800"/>
          </w:tcPr>
          <w:p>
            <w:r>
              <w:t xml:space="preserve">$7,826M</w:t>
            </w:r>
          </w:p>
        </w:tc>
        <w:tc>
          <w:tcPr>
            <w:tcW w:type="dxa" w:w="1800"/>
          </w:tcPr>
          <w:p>
            <w:r>
              <w:t xml:space="preserve">$7,335M</w:t>
            </w:r>
          </w:p>
        </w:tc>
        <w:tc>
          <w:tcPr>
            <w:tcW w:type="dxa" w:w="1800"/>
          </w:tcPr>
          <w:p>
            <w:r>
              <w:t xml:space="preserve">$8,449M</w:t>
            </w:r>
          </w:p>
        </w:tc>
        <w:tc>
          <w:tcPr>
            <w:tcW w:type="dxa" w:w="1800"/>
          </w:tcPr>
          <w:p>
            <w:r>
              <w:t xml:space="preserve">$9,576M</w:t>
            </w:r>
          </w:p>
        </w:tc>
      </w:tr>
      <w:tr>
        <w:tc>
          <w:tcPr>
            <w:tcW w:type="dxa" w:w="1800"/>
          </w:tcPr>
          <w:p>
            <w:r>
              <w:t xml:space="preserve">Revenue growth YoY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−8.3%</w:t>
            </w:r>
          </w:p>
        </w:tc>
        <w:tc>
          <w:tcPr>
            <w:tcW w:type="dxa" w:w="1800"/>
          </w:tcPr>
          <w:p>
            <w:r>
              <w:t xml:space="preserve">−6.3%</w:t>
            </w:r>
          </w:p>
        </w:tc>
        <w:tc>
          <w:tcPr>
            <w:tcW w:type="dxa" w:w="1800"/>
          </w:tcPr>
          <w:p>
            <w:r>
              <w:t xml:space="preserve">+15.2%</w:t>
            </w:r>
          </w:p>
        </w:tc>
        <w:tc>
          <w:tcPr>
            <w:tcW w:type="dxa" w:w="1800"/>
          </w:tcPr>
          <w:p>
            <w:r>
              <w:t xml:space="preserve">+30.7% (latest Q y/y)</w:t>
            </w:r>
          </w:p>
        </w:tc>
      </w:tr>
      <w:tr>
        <w:tc>
          <w:tcPr>
            <w:tcW w:type="dxa" w:w="1800"/>
          </w:tcPr>
          <w:p>
            <w:r>
              <w:t xml:space="preserve">Gross margin</w:t>
            </w:r>
          </w:p>
        </w:tc>
        <w:tc>
          <w:tcPr>
            <w:tcW w:type="dxa" w:w="1800"/>
          </w:tcPr>
          <w:p>
            <w:r>
              <w:t xml:space="preserve">11.3%</w:t>
            </w:r>
          </w:p>
        </w:tc>
        <w:tc>
          <w:tcPr>
            <w:tcW w:type="dxa" w:w="1800"/>
          </w:tcPr>
          <w:p>
            <w:r>
              <w:t xml:space="preserve">13.5%</w:t>
            </w:r>
          </w:p>
        </w:tc>
        <w:tc>
          <w:tcPr>
            <w:tcW w:type="dxa" w:w="1800"/>
          </w:tcPr>
          <w:p>
            <w:r>
              <w:t xml:space="preserve">12.8%</w:t>
            </w:r>
          </w:p>
        </w:tc>
        <w:tc>
          <w:tcPr>
            <w:tcW w:type="dxa" w:w="1800"/>
          </w:tcPr>
          <w:p>
            <w:r>
              <w:t xml:space="preserve">14.0%</w:t>
            </w:r>
          </w:p>
        </w:tc>
        <w:tc>
          <w:tcPr>
            <w:tcW w:type="dxa" w:w="1800"/>
          </w:tcPr>
          <w:p>
            <w:r>
              <w:t xml:space="preserve">16.3%</w:t>
            </w:r>
          </w:p>
        </w:tc>
      </w:tr>
      <w:tr>
        <w:tc>
          <w:tcPr>
            <w:tcW w:type="dxa" w:w="1800"/>
          </w:tcPr>
          <w:p>
            <w:r>
              <w:t xml:space="preserve">EBITDA margin (reported, incl. lag)</w:t>
            </w:r>
          </w:p>
        </w:tc>
        <w:tc>
          <w:tcPr>
            <w:tcW w:type="dxa" w:w="1800"/>
          </w:tcPr>
          <w:p>
            <w:r>
              <w:t xml:space="preserve">6.3%</w:t>
            </w:r>
          </w:p>
        </w:tc>
        <w:tc>
          <w:tcPr>
            <w:tcW w:type="dxa" w:w="1800"/>
          </w:tcPr>
          <w:p>
            <w:r>
              <w:t xml:space="preserve">8.2%</w:t>
            </w:r>
          </w:p>
        </w:tc>
        <w:tc>
          <w:tcPr>
            <w:tcW w:type="dxa" w:w="1800"/>
          </w:tcPr>
          <w:p>
            <w:r>
              <w:t xml:space="preserve">7.4%</w:t>
            </w:r>
          </w:p>
        </w:tc>
        <w:tc>
          <w:tcPr>
            <w:tcW w:type="dxa" w:w="1800"/>
          </w:tcPr>
          <w:p>
            <w:r>
              <w:t xml:space="preserve">10.0%</w:t>
            </w:r>
          </w:p>
        </w:tc>
        <w:tc>
          <w:tcPr>
            <w:tcW w:type="dxa" w:w="1800"/>
          </w:tcPr>
          <w:p>
            <w:r>
              <w:t xml:space="preserve">12.5%</w:t>
            </w:r>
          </w:p>
        </w:tc>
      </w:tr>
      <w:tr>
        <w:tc>
          <w:tcPr>
            <w:tcW w:type="dxa" w:w="1800"/>
          </w:tcPr>
          <w:p>
            <w:r>
              <w:t xml:space="preserve">Net margin</w:t>
            </w:r>
          </w:p>
        </w:tc>
        <w:tc>
          <w:tcPr>
            <w:tcW w:type="dxa" w:w="1800"/>
          </w:tcPr>
          <w:p>
            <w:r>
              <w:t xml:space="preserve">3.6%</w:t>
            </w:r>
          </w:p>
        </w:tc>
        <w:tc>
          <w:tcPr>
            <w:tcW w:type="dxa" w:w="1800"/>
          </w:tcPr>
          <w:p>
            <w:r>
              <w:t xml:space="preserve">1.9%</w:t>
            </w:r>
          </w:p>
        </w:tc>
        <w:tc>
          <w:tcPr>
            <w:tcW w:type="dxa" w:w="1800"/>
          </w:tcPr>
          <w:p>
            <w:r>
              <w:t xml:space="preserve">0.8%</w:t>
            </w:r>
          </w:p>
        </w:tc>
        <w:tc>
          <w:tcPr>
            <w:tcW w:type="dxa" w:w="1800"/>
          </w:tcPr>
          <w:p>
            <w:r>
              <w:t xml:space="preserve">3.2%</w:t>
            </w:r>
          </w:p>
        </w:tc>
        <w:tc>
          <w:tcPr>
            <w:tcW w:type="dxa" w:w="1800"/>
          </w:tcPr>
          <w:p>
            <w:r>
              <w:t xml:space="preserve">5.7%</w:t>
            </w:r>
          </w:p>
        </w:tc>
      </w:tr>
      <w:tr>
        <w:tc>
          <w:tcPr>
            <w:tcW w:type="dxa" w:w="1800"/>
          </w:tcPr>
          <w:p>
            <w:r>
              <w:t xml:space="preserve">ROE</w:t>
            </w:r>
          </w:p>
        </w:tc>
        <w:tc>
          <w:tcPr>
            <w:tcW w:type="dxa" w:w="1800"/>
          </w:tcPr>
          <w:p>
            <w:r>
              <w:t xml:space="preserve">39.3%</w:t>
            </w:r>
          </w:p>
        </w:tc>
        <w:tc>
          <w:tcPr>
            <w:tcW w:type="dxa" w:w="1800"/>
          </w:tcPr>
          <w:p>
            <w:r>
              <w:t xml:space="preserve">20.2%</w:t>
            </w:r>
          </w:p>
        </w:tc>
        <w:tc>
          <w:tcPr>
            <w:tcW w:type="dxa" w:w="1800"/>
          </w:tcPr>
          <w:p>
            <w:r>
              <w:t xml:space="preserve">7.9%</w:t>
            </w:r>
          </w:p>
        </w:tc>
        <w:tc>
          <w:tcPr>
            <w:tcW w:type="dxa" w:w="1800"/>
          </w:tcPr>
          <w:p>
            <w:r>
              <w:t xml:space="preserve">32.9%</w:t>
            </w:r>
          </w:p>
        </w:tc>
        <w:tc>
          <w:tcPr>
            <w:tcW w:type="dxa" w:w="1800"/>
          </w:tcPr>
          <w:p>
            <w:r>
              <w:t xml:space="preserve">43.7%</w:t>
            </w:r>
          </w:p>
        </w:tc>
      </w:tr>
      <w:tr>
        <w:tc>
          <w:tcPr>
            <w:tcW w:type="dxa" w:w="1800"/>
          </w:tcPr>
          <w:p>
            <w:r>
              <w:t xml:space="preserve">P/E</w:t>
            </w:r>
          </w:p>
        </w:tc>
        <w:tc>
          <w:tcPr>
            <w:tcW w:type="dxa" w:w="1800"/>
          </w:tcPr>
          <w:p>
            <w:r>
              <w:t xml:space="preserve">5.5×</w:t>
            </w:r>
          </w:p>
        </w:tc>
        <w:tc>
          <w:tcPr>
            <w:tcW w:type="dxa" w:w="1800"/>
          </w:tcPr>
          <w:p>
            <w:r>
              <w:t xml:space="preserve">19.3×</w:t>
            </w:r>
          </w:p>
        </w:tc>
        <w:tc>
          <w:tcPr>
            <w:tcW w:type="dxa" w:w="1800"/>
          </w:tcPr>
          <w:p>
            <w:r>
              <w:t xml:space="preserve">26.3×</w:t>
            </w:r>
          </w:p>
        </w:tc>
        <w:tc>
          <w:tcPr>
            <w:tcW w:type="dxa" w:w="1800"/>
          </w:tcPr>
          <w:p>
            <w:r>
              <w:t xml:space="preserve">9.4×</w:t>
            </w:r>
          </w:p>
        </w:tc>
        <w:tc>
          <w:tcPr>
            <w:tcW w:type="dxa" w:w="1800"/>
          </w:tcPr>
          <w:p>
            <w:r>
              <w:t xml:space="preserve">6.1×</w:t>
            </w:r>
          </w:p>
        </w:tc>
      </w:tr>
      <w:tr>
        <w:tc>
          <w:tcPr>
            <w:tcW w:type="dxa" w:w="1800"/>
          </w:tcPr>
          <w:p>
            <w:r>
              <w:t xml:space="preserve">P/S</w:t>
            </w:r>
          </w:p>
        </w:tc>
        <w:tc>
          <w:tcPr>
            <w:tcW w:type="dxa" w:w="1800"/>
          </w:tcPr>
          <w:p>
            <w:r>
              <w:t xml:space="preserve">0.2×</w:t>
            </w:r>
          </w:p>
        </w:tc>
        <w:tc>
          <w:tcPr>
            <w:tcW w:type="dxa" w:w="1800"/>
          </w:tcPr>
          <w:p>
            <w:r>
              <w:t xml:space="preserve">0.4×</w:t>
            </w:r>
          </w:p>
        </w:tc>
        <w:tc>
          <w:tcPr>
            <w:tcW w:type="dxa" w:w="1800"/>
          </w:tcPr>
          <w:p>
            <w:r>
              <w:t xml:space="preserve">0.2×</w:t>
            </w:r>
          </w:p>
        </w:tc>
        <w:tc>
          <w:tcPr>
            <w:tcW w:type="dxa" w:w="1800"/>
          </w:tcPr>
          <w:p>
            <w:r>
              <w:t xml:space="preserve">0.3×</w:t>
            </w:r>
          </w:p>
        </w:tc>
        <w:tc>
          <w:tcPr>
            <w:tcW w:type="dxa" w:w="1800"/>
          </w:tcPr>
          <w:p>
            <w:r>
              <w:t xml:space="preserve">0.3×</w:t>
            </w:r>
          </w:p>
        </w:tc>
      </w:tr>
      <w:tr>
        <w:tc>
          <w:tcPr>
            <w:tcW w:type="dxa" w:w="1800"/>
          </w:tcPr>
          <w:p>
            <w:r>
              <w:t xml:space="preserve">P/B</w:t>
            </w:r>
          </w:p>
        </w:tc>
        <w:tc>
          <w:tcPr>
            <w:tcW w:type="dxa" w:w="1800"/>
          </w:tcPr>
          <w:p>
            <w:r>
              <w:t xml:space="preserve">2.2×</w:t>
            </w:r>
          </w:p>
        </w:tc>
        <w:tc>
          <w:tcPr>
            <w:tcW w:type="dxa" w:w="1800"/>
          </w:tcPr>
          <w:p>
            <w:r>
              <w:t xml:space="preserve">4.1×</w:t>
            </w:r>
          </w:p>
        </w:tc>
        <w:tc>
          <w:tcPr>
            <w:tcW w:type="dxa" w:w="1800"/>
          </w:tcPr>
          <w:p>
            <w:r>
              <w:t xml:space="preserve">2.1×</w:t>
            </w:r>
          </w:p>
        </w:tc>
        <w:tc>
          <w:tcPr>
            <w:tcW w:type="dxa" w:w="1800"/>
          </w:tcPr>
          <w:p>
            <w:r>
              <w:t xml:space="preserve">2.7×</w:t>
            </w:r>
          </w:p>
        </w:tc>
        <w:tc>
          <w:tcPr>
            <w:tcW w:type="dxa" w:w="1800"/>
          </w:tcPr>
          <w:p>
            <w:r>
              <w:t xml:space="preserve">2.7×</w:t>
            </w:r>
          </w:p>
        </w:tc>
      </w:tr>
      <w:tr>
        <w:tc>
          <w:tcPr>
            <w:tcW w:type="dxa" w:w="1800"/>
          </w:tcPr>
          <w:p>
            <w:r>
              <w:t xml:space="preserve">EV/Revenue</w:t>
            </w:r>
          </w:p>
        </w:tc>
        <w:tc>
          <w:tcPr>
            <w:tcW w:type="dxa" w:w="1800"/>
          </w:tcPr>
          <w:p>
            <w:r>
              <w:t xml:space="preserve">0.4×</w:t>
            </w:r>
          </w:p>
        </w:tc>
        <w:tc>
          <w:tcPr>
            <w:tcW w:type="dxa" w:w="1800"/>
          </w:tcPr>
          <w:p>
            <w:r>
              <w:t xml:space="preserve">0.6×</w:t>
            </w:r>
          </w:p>
        </w:tc>
        <w:tc>
          <w:tcPr>
            <w:tcW w:type="dxa" w:w="1800"/>
          </w:tcPr>
          <w:p>
            <w:r>
              <w:t xml:space="preserve">0.4×</w:t>
            </w:r>
          </w:p>
        </w:tc>
        <w:tc>
          <w:tcPr>
            <w:tcW w:type="dxa" w:w="1800"/>
          </w:tcPr>
          <w:p>
            <w:r>
              <w:t xml:space="preserve">0.5×</w:t>
            </w:r>
          </w:p>
        </w:tc>
        <w:tc>
          <w:tcPr>
            <w:tcW w:type="dxa" w:w="1800"/>
          </w:tcPr>
          <w:p>
            <w:r>
              <w:t xml:space="preserve">0.5×</w:t>
            </w:r>
          </w:p>
        </w:tc>
      </w:tr>
      <w:tr>
        <w:tc>
          <w:tcPr>
            <w:tcW w:type="dxa" w:w="1800"/>
          </w:tcPr>
          <w:p>
            <w:r>
              <w:t xml:space="preserve">EV/EBITDA</w:t>
            </w:r>
          </w:p>
        </w:tc>
        <w:tc>
          <w:tcPr>
            <w:tcW w:type="dxa" w:w="1800"/>
          </w:tcPr>
          <w:p>
            <w:r>
              <w:t xml:space="preserve">7.0×</w:t>
            </w:r>
          </w:p>
        </w:tc>
        <w:tc>
          <w:tcPr>
            <w:tcW w:type="dxa" w:w="1800"/>
          </w:tcPr>
          <w:p>
            <w:r>
              <w:t xml:space="preserve">7.3×</w:t>
            </w:r>
          </w:p>
        </w:tc>
        <w:tc>
          <w:tcPr>
            <w:tcW w:type="dxa" w:w="1800"/>
          </w:tcPr>
          <w:p>
            <w:r>
              <w:t xml:space="preserve">6.0×</w:t>
            </w:r>
          </w:p>
        </w:tc>
        <w:tc>
          <w:tcPr>
            <w:tcW w:type="dxa" w:w="1800"/>
          </w:tcPr>
          <w:p>
            <w:r>
              <w:t xml:space="preserve">5.2×</w:t>
            </w:r>
          </w:p>
        </w:tc>
        <w:tc>
          <w:tcPr>
            <w:tcW w:type="dxa" w:w="1800"/>
          </w:tcPr>
          <w:p>
            <w:r>
              <w:t xml:space="preserve">4.3×</w:t>
            </w:r>
          </w:p>
        </w:tc>
      </w:tr>
      <w:tr>
        <w:tc>
          <w:tcPr>
            <w:tcW w:type="dxa" w:w="1800"/>
          </w:tcPr>
          <w:p>
            <w:r>
              <w:t xml:space="preserve">Debt/Equity</w:t>
            </w:r>
          </w:p>
        </w:tc>
        <w:tc>
          <w:tcPr>
            <w:tcW w:type="dxa" w:w="1800"/>
          </w:tcPr>
          <w:p>
            <w:r>
              <w:t xml:space="preserve">2.8</w:t>
            </w:r>
          </w:p>
        </w:tc>
        <w:tc>
          <w:tcPr>
            <w:tcW w:type="dxa" w:w="1800"/>
          </w:tcPr>
          <w:p>
            <w:r>
              <w:t xml:space="preserve">2.7</w:t>
            </w:r>
          </w:p>
        </w:tc>
        <w:tc>
          <w:tcPr>
            <w:tcW w:type="dxa" w:w="1800"/>
          </w:tcPr>
          <w:p>
            <w:r>
              <w:t xml:space="preserve">2.7</w:t>
            </w:r>
          </w:p>
        </w:tc>
        <w:tc>
          <w:tcPr>
            <w:tcW w:type="dxa" w:w="1800"/>
          </w:tcPr>
          <w:p>
            <w:r>
              <w:t xml:space="preserve">2.0</w:t>
            </w:r>
          </w:p>
        </w:tc>
        <w:tc>
          <w:tcPr>
            <w:tcW w:type="dxa" w:w="1800"/>
          </w:tcPr>
          <w:p>
            <w:r>
              <w:t xml:space="preserve">1.5</w:t>
            </w:r>
          </w:p>
        </w:tc>
      </w:tr>
      <w:tr>
        <w:tc>
          <w:tcPr>
            <w:tcW w:type="dxa" w:w="1800"/>
          </w:tcPr>
          <w:p>
            <w:r>
              <w:t xml:space="preserve">Net cash / (net debt)</w:t>
            </w:r>
          </w:p>
        </w:tc>
        <w:tc>
          <w:tcPr>
            <w:tcW w:type="dxa" w:w="1800"/>
          </w:tcPr>
          <w:p>
            <w:r>
              <w:t xml:space="preserve">($2,053M)</w:t>
            </w:r>
          </w:p>
        </w:tc>
        <w:tc>
          <w:tcPr>
            <w:tcW w:type="dxa" w:w="1800"/>
          </w:tcPr>
          <w:p>
            <w:r>
              <w:t xml:space="preserve">($1,724M)</w:t>
            </w:r>
          </w:p>
        </w:tc>
        <w:tc>
          <w:tcPr>
            <w:tcW w:type="dxa" w:w="1800"/>
          </w:tcPr>
          <w:p>
            <w:r>
              <w:t xml:space="preserve">($1,777M)</w:t>
            </w:r>
          </w:p>
        </w:tc>
        <w:tc>
          <w:tcPr>
            <w:tcW w:type="dxa" w:w="1800"/>
          </w:tcPr>
          <w:p>
            <w:r>
              <w:t xml:space="preserve">($1,824M)</w:t>
            </w:r>
          </w:p>
        </w:tc>
        <w:tc>
          <w:tcPr>
            <w:tcW w:type="dxa" w:w="1800"/>
          </w:tcPr>
          <w:p>
            <w:r>
              <w:t xml:space="preserve">($1,760M)</w:t>
            </w:r>
          </w:p>
        </w:tc>
      </w:tr>
      <w:tr>
        <w:tc>
          <w:tcPr>
            <w:tcW w:type="dxa" w:w="1800"/>
          </w:tcPr>
          <w:p>
            <w:r>
              <w:t xml:space="preserve">FCF margin</w:t>
            </w:r>
          </w:p>
        </w:tc>
        <w:tc>
          <w:tcPr>
            <w:tcW w:type="dxa" w:w="1800"/>
          </w:tcPr>
          <w:p>
            <w:r>
              <w:t xml:space="preserve">0.9%</w:t>
            </w:r>
          </w:p>
        </w:tc>
        <w:tc>
          <w:tcPr>
            <w:tcW w:type="dxa" w:w="1800"/>
          </w:tcPr>
          <w:p>
            <w:r>
              <w:t xml:space="preserve">0.8%</w:t>
            </w:r>
          </w:p>
        </w:tc>
        <w:tc>
          <w:tcPr>
            <w:tcW w:type="dxa" w:w="1800"/>
          </w:tcPr>
          <w:p>
            <w:r>
              <w:t xml:space="preserve">−1.5%</w:t>
            </w:r>
          </w:p>
        </w:tc>
        <w:tc>
          <w:tcPr>
            <w:tcW w:type="dxa" w:w="1800"/>
          </w:tcPr>
          <w:p>
            <w:r>
              <w:t xml:space="preserve">1.9%</w:t>
            </w:r>
          </w:p>
        </w:tc>
        <w:tc>
          <w:tcPr>
            <w:tcW w:type="dxa" w:w="1800"/>
          </w:tcPr>
          <w:p>
            <w:r>
              <w:t xml:space="preserve">2.3%</w:t>
            </w:r>
          </w:p>
        </w:tc>
      </w:tr>
      <w:tr>
        <w:tc>
          <w:tcPr>
            <w:tcW w:type="dxa" w:w="1800"/>
          </w:tcPr>
          <w:p>
            <w:r>
              <w:t xml:space="preserve">Shares</w:t>
            </w:r>
          </w:p>
        </w:tc>
        <w:tc>
          <w:tcPr>
            <w:tcW w:type="dxa" w:w="1800"/>
          </w:tcPr>
          <w:p>
            <w:r>
              <w:t xml:space="preserve">144.3M</w:t>
            </w:r>
          </w:p>
        </w:tc>
        <w:tc>
          <w:tcPr>
            <w:tcW w:type="dxa" w:w="1800"/>
          </w:tcPr>
          <w:p>
            <w:r>
              <w:t xml:space="preserve">146.8M</w:t>
            </w:r>
          </w:p>
        </w:tc>
        <w:tc>
          <w:tcPr>
            <w:tcW w:type="dxa" w:w="1800"/>
          </w:tcPr>
          <w:p>
            <w:r>
              <w:t xml:space="preserve">143.5M</w:t>
            </w:r>
          </w:p>
        </w:tc>
        <w:tc>
          <w:tcPr>
            <w:tcW w:type="dxa" w:w="1800"/>
          </w:tcPr>
          <w:p>
            <w:r>
              <w:t xml:space="preserve">135.4M</w:t>
            </w:r>
          </w:p>
        </w:tc>
        <w:tc>
          <w:tcPr>
            <w:tcW w:type="dxa" w:w="1800"/>
          </w:tcPr>
          <w:p>
            <w:r>
              <w:t xml:space="preserve">135.5M</w:t>
            </w:r>
          </w:p>
        </w:tc>
      </w:tr>
    </w:tbl>
    <w:p>
      <w:pPr>
        <w:pStyle w:val="Heading3"/>
        <w:spacing w:after="100" w:before="200"/>
      </w:pPr>
      <w:r>
        <w:t xml:space="preserve">Sector-Specific Ratio Table (Metals processing)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 / latest</w:t>
            </w:r>
          </w:p>
        </w:tc>
      </w:tr>
      <w:tr>
        <w:tc>
          <w:tcPr>
            <w:tcW w:type="dxa" w:w="1800"/>
          </w:tcPr>
          <w:p>
            <w:r>
              <w:t xml:space="preserve">ROIC (NOPLAT/IC, 25% tax)</w:t>
            </w:r>
          </w:p>
        </w:tc>
        <w:tc>
          <w:tcPr>
            <w:tcW w:type="dxa" w:w="1800"/>
          </w:tcPr>
          <w:p>
            <w:r>
              <w:t xml:space="preserve">8.6%</w:t>
            </w:r>
          </w:p>
        </w:tc>
        <w:tc>
          <w:tcPr>
            <w:tcW w:type="dxa" w:w="1800"/>
          </w:tcPr>
          <w:p>
            <w:r>
              <w:t xml:space="preserve">10.9%</w:t>
            </w:r>
          </w:p>
        </w:tc>
        <w:tc>
          <w:tcPr>
            <w:tcW w:type="dxa" w:w="1800"/>
          </w:tcPr>
          <w:p>
            <w:r>
              <w:t xml:space="preserve">7.8%</w:t>
            </w:r>
          </w:p>
        </w:tc>
        <w:tc>
          <w:tcPr>
            <w:tcW w:type="dxa" w:w="1800"/>
          </w:tcPr>
          <w:p>
            <w:r>
              <w:t xml:space="preserve">12.3%</w:t>
            </w:r>
          </w:p>
        </w:tc>
        <w:tc>
          <w:tcPr>
            <w:tcW w:type="dxa" w:w="1800"/>
          </w:tcPr>
          <w:p>
            <w:r>
              <w:t xml:space="preserve">~15% [EST, H1 annualised ex-lag]</w:t>
            </w:r>
          </w:p>
        </w:tc>
      </w:tr>
      <w:tr>
        <w:tc>
          <w:tcPr>
            <w:tcW w:type="dxa" w:w="1800"/>
          </w:tcPr>
          <w:p>
            <w:r>
              <w:t xml:space="preserve">Net debt / EBITDA (reported)</w:t>
            </w:r>
          </w:p>
        </w:tc>
        <w:tc>
          <w:tcPr>
            <w:tcW w:type="dxa" w:w="1800"/>
          </w:tcPr>
          <w:p>
            <w:r>
              <w:t xml:space="preserve">3.8×</w:t>
            </w:r>
          </w:p>
        </w:tc>
        <w:tc>
          <w:tcPr>
            <w:tcW w:type="dxa" w:w="1800"/>
          </w:tcPr>
          <w:p>
            <w:r>
              <w:t xml:space="preserve">2.7×</w:t>
            </w:r>
          </w:p>
        </w:tc>
        <w:tc>
          <w:tcPr>
            <w:tcW w:type="dxa" w:w="1800"/>
          </w:tcPr>
          <w:p>
            <w:r>
              <w:t xml:space="preserve">3.3×</w:t>
            </w:r>
          </w:p>
        </w:tc>
        <w:tc>
          <w:tcPr>
            <w:tcW w:type="dxa" w:w="1800"/>
          </w:tcPr>
          <w:p>
            <w:r>
              <w:t xml:space="preserve">2.2×</w:t>
            </w:r>
          </w:p>
        </w:tc>
        <w:tc>
          <w:tcPr>
            <w:tcW w:type="dxa" w:w="1800"/>
          </w:tcPr>
          <w:p>
            <w:r>
              <w:t xml:space="preserve">1.8× (company)</w:t>
            </w:r>
          </w:p>
        </w:tc>
      </w:tr>
      <w:tr>
        <w:tc>
          <w:tcPr>
            <w:tcW w:type="dxa" w:w="1800"/>
          </w:tcPr>
          <w:p>
            <w:r>
              <w:t xml:space="preserve">CapEx / revenue</w:t>
            </w:r>
          </w:p>
        </w:tc>
        <w:tc>
          <w:tcPr>
            <w:tcW w:type="dxa" w:w="1800"/>
          </w:tcPr>
          <w:p>
            <w:r>
              <w:t xml:space="preserve">3.4%</w:t>
            </w:r>
          </w:p>
        </w:tc>
        <w:tc>
          <w:tcPr>
            <w:tcW w:type="dxa" w:w="1800"/>
          </w:tcPr>
          <w:p>
            <w:r>
              <w:t xml:space="preserve">4.7%</w:t>
            </w:r>
          </w:p>
        </w:tc>
        <w:tc>
          <w:tcPr>
            <w:tcW w:type="dxa" w:w="1800"/>
          </w:tcPr>
          <w:p>
            <w:r>
              <w:t xml:space="preserve">5.6%</w:t>
            </w:r>
          </w:p>
        </w:tc>
        <w:tc>
          <w:tcPr>
            <w:tcW w:type="dxa" w:w="1800"/>
          </w:tcPr>
          <w:p>
            <w:r>
              <w:t xml:space="preserve">3.9%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</w:tr>
      <w:tr>
        <w:tc>
          <w:tcPr>
            <w:tcW w:type="dxa" w:w="1800"/>
          </w:tcPr>
          <w:p>
            <w:r>
              <w:t xml:space="preserve">Free cash flow</w:t>
            </w:r>
          </w:p>
        </w:tc>
        <w:tc>
          <w:tcPr>
            <w:tcW w:type="dxa" w:w="1800"/>
          </w:tcPr>
          <w:p>
            <w:r>
              <w:t xml:space="preserve">$76M</w:t>
            </w:r>
          </w:p>
        </w:tc>
        <w:tc>
          <w:tcPr>
            <w:tcW w:type="dxa" w:w="1800"/>
          </w:tcPr>
          <w:p>
            <w:r>
              <w:t xml:space="preserve">$66M</w:t>
            </w:r>
          </w:p>
        </w:tc>
        <w:tc>
          <w:tcPr>
            <w:tcW w:type="dxa" w:w="1800"/>
          </w:tcPr>
          <w:p>
            <w:r>
              <w:t xml:space="preserve">−$112M</w:t>
            </w:r>
          </w:p>
        </w:tc>
        <w:tc>
          <w:tcPr>
            <w:tcW w:type="dxa" w:w="1800"/>
          </w:tcPr>
          <w:p>
            <w:r>
              <w:t xml:space="preserve">$159M</w:t>
            </w:r>
          </w:p>
        </w:tc>
        <w:tc>
          <w:tcPr>
            <w:tcW w:type="dxa" w:w="1800"/>
          </w:tcPr>
          <w:p>
            <w:r>
              <w:t xml:space="preserve">~$216M (FY25 − H1-25 + H1-26)</w:t>
            </w:r>
          </w:p>
        </w:tc>
      </w:tr>
      <w:tr>
        <w:tc>
          <w:tcPr>
            <w:tcW w:type="dxa" w:w="1800"/>
          </w:tcPr>
          <w:p>
            <w:r>
              <w:t xml:space="preserve">Buybacks</w:t>
            </w:r>
          </w:p>
        </w:tc>
        <w:tc>
          <w:tcPr>
            <w:tcW w:type="dxa" w:w="1800"/>
          </w:tcPr>
          <w:p>
            <w:r>
              <w:t xml:space="preserve">$0</w:t>
            </w:r>
          </w:p>
        </w:tc>
        <w:tc>
          <w:tcPr>
            <w:tcW w:type="dxa" w:w="1800"/>
          </w:tcPr>
          <w:p>
            <w:r>
              <w:t xml:space="preserve">$0</w:t>
            </w:r>
          </w:p>
        </w:tc>
        <w:tc>
          <w:tcPr>
            <w:tcW w:type="dxa" w:w="1800"/>
          </w:tcPr>
          <w:p>
            <w:r>
              <w:t xml:space="preserve">$79M</w:t>
            </w:r>
          </w:p>
        </w:tc>
        <w:tc>
          <w:tcPr>
            <w:tcW w:type="dxa" w:w="1800"/>
          </w:tcPr>
          <w:p>
            <w:r>
              <w:t xml:space="preserve">$115M</w:t>
            </w:r>
          </w:p>
        </w:tc>
        <w:tc>
          <w:tcPr>
            <w:tcW w:type="dxa" w:w="1800"/>
          </w:tcPr>
          <w:p>
            <w:r>
              <w:t xml:space="preserve">$48M (H1-26)</w:t>
            </w:r>
          </w:p>
        </w:tc>
      </w:tr>
      <w:tr>
        <w:tc>
          <w:tcPr>
            <w:tcW w:type="dxa" w:w="1800"/>
          </w:tcPr>
          <w:p>
            <w:r>
              <w:t xml:space="preserve">Segment adj. EBITDA/ton ex-lag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$814/t (Q2-26) vs $430/t (Q2-25)</w:t>
            </w:r>
          </w:p>
        </w:tc>
      </w:tr>
    </w:tbl>
    <w:p>
      <w:pPr>
        <w:pStyle w:val="Heading3"/>
        <w:spacing w:after="100" w:before="20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EV/EBITDA compressed from 7.3× to 4.3× while EBITDA margin rose from 8.2% to 12.5%.</w:t>
      </w:r>
      <w:r>
        <w:t xml:space="preserve"> The market is refusing to capitalise peak margins, which is exactly Lynch's cyclical logic. The ratio table shows the market *already* applies the cyclical discount this agent would apply. That is why the MoS Gate only just clears Base rather than showing a deep discount.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Net debt/EBITDA falling from 3.8× to 1.8×</w:t>
      </w:r>
      <w:r>
        <w:t xml:space="preserve"> is the hard number behind the Fisher #13 and Compounder self-funding passes. The deleveraging is real. But net debt in dollars has barely moved ($2.05B → $1.76B); the ratio improved mostly through higher EBITDA. If EBITDA reverts to ~$640M (FY23), leverage goes back to ~2.8×.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FCF margin has never exceeded 2.3%</w:t>
      </w:r>
      <w:r>
        <w:t xml:space="preserve"> (FY22–TTM). The FY26 &gt;$300M guide would be ~3%. That is the Compounder FCF-conversion fail in numbers, and the reason ROIC needs to hold before this can be more than QUALITY.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c>
          <w:tcPr>
            <w:tcW w:type="dxa" w:w="981"/>
            <w:shd w:fill="D9D9D9" w:val="clear"/>
          </w:tcPr>
          <w:p>
            <w:r>
              <w:t xml:space="preserve">TICKER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Track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Category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F-Score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F-Rating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DCF Bear-Base-Bull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MoS Gate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Compounder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AI Impact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Horizon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Thesis Invalidation</w:t>
            </w:r>
          </w:p>
        </w:tc>
      </w:tr>
      <w:tr>
        <w:tc>
          <w:tcPr>
            <w:tcW w:type="dxa" w:w="981"/>
          </w:tcPr>
          <w:p>
            <w:r>
              <w:t xml:space="preserve">CSTM</w:t>
            </w:r>
          </w:p>
        </w:tc>
        <w:tc>
          <w:tcPr>
            <w:tcW w:type="dxa" w:w="981"/>
          </w:tcPr>
          <w:p>
            <w:r>
              <w:t xml:space="preserve">A-MN (processing)</w:t>
            </w:r>
          </w:p>
        </w:tc>
        <w:tc>
          <w:tcPr>
            <w:tcW w:type="dxa" w:w="981"/>
          </w:tcPr>
          <w:p>
            <w:r>
              <w:t xml:space="preserve">Cyclical</w:t>
            </w:r>
          </w:p>
        </w:tc>
        <w:tc>
          <w:tcPr>
            <w:tcW w:type="dxa" w:w="981"/>
          </w:tcPr>
          <w:p>
            <w:r>
              <w:t xml:space="preserve">59</w:t>
            </w:r>
          </w:p>
        </w:tc>
        <w:tc>
          <w:tcPr>
            <w:tcW w:type="dxa" w:w="981"/>
          </w:tcPr>
          <w:p>
            <w:r>
              <w:t xml:space="preserve">Fair</w:t>
            </w:r>
          </w:p>
        </w:tc>
        <w:tc>
          <w:tcPr>
            <w:tcW w:type="dxa" w:w="981"/>
          </w:tcPr>
          <w:p>
            <w:r>
              <w:t xml:space="preserve">$14.56 / $26.50 / $36.87 (€12.78 / €23.27 / €32.37), WACC 9.5%</w:t>
            </w:r>
          </w:p>
        </w:tc>
        <w:tc>
          <w:tcPr>
            <w:tcW w:type="dxa" w:w="981"/>
          </w:tcPr>
          <w:p>
            <w:r>
              <w:t xml:space="preserve">BASE (thin; NONE at 10.5%)</w:t>
            </w:r>
          </w:p>
        </w:tc>
        <w:tc>
          <w:tcPr>
            <w:tcW w:type="dxa" w:w="981"/>
          </w:tcPr>
          <w:p>
            <w:r>
              <w:t xml:space="preserve">QUALITY</w:t>
            </w:r>
          </w:p>
        </w:tc>
        <w:tc>
          <w:tcPr>
            <w:tcW w:type="dxa" w:w="981"/>
          </w:tcPr>
          <w:p>
            <w:r>
              <w:t xml:space="preserve">NEUTRAL</w:t>
            </w:r>
          </w:p>
        </w:tc>
        <w:tc>
          <w:tcPr>
            <w:tcW w:type="dxa" w:w="981"/>
          </w:tcPr>
          <w:p>
            <w:r>
              <w:t xml:space="preserve">3–5yr</w:t>
            </w:r>
          </w:p>
        </w:tc>
        <w:tc>
          <w:tcPr>
            <w:tcW w:type="dxa" w:w="981"/>
          </w:tcPr>
          <w:p>
            <w:r>
              <w:t xml:space="preserve">Adj. EBITDA ex-lag run-rate &lt; $850M, OR 2027 FCF &lt; $200M, OR leverage &gt; 2.5×</w:t>
            </w:r>
          </w:p>
        </w:tc>
      </w:tr>
    </w:tbl>
    <w:p>
      <w:r>
        <w:rPr>
          <w:b/>
          <w:bCs/>
        </w:rPr>
        <w:t xml:space="preserve">What has to be true:</w:t>
      </w:r>
    </w:p>
    <w:p>
      <w:pPr>
        <w:pStyle w:val="ListParagraph"/>
        <w:numPr>
          <w:ilvl w:val="0"/>
          <w:numId w:val="1"/>
        </w:numPr>
      </w:pPr>
      <w:r>
        <w:t xml:space="preserve">The 2025–26 step-up in conversion economics is mostly structural: aerospace backlog, North American auto-sheet tightness under tariffs, recycling spreads. Adj. EBITDA ex-lag then settles at or above ~$900M instead of reverting toward the $550–650M of FY22–FY24.</w:t>
      </w:r>
    </w:p>
    <w:p>
      <w:r>
        <w:rPr>
          <w:b/>
          <w:bCs/>
        </w:rPr>
        <w:t xml:space="preserve">What would most change the verdict:</w:t>
      </w:r>
    </w:p>
    <w:p>
      <w:pPr>
        <w:pStyle w:val="ListParagraph"/>
        <w:numPr>
          <w:ilvl w:val="0"/>
          <w:numId w:val="1"/>
        </w:numPr>
      </w:pPr>
      <w:r>
        <w:t xml:space="preserve">A tariff rollback, or a scrap-spread normalisation that pushes H1-27 EBITDA/ton back toward ~$500/t. With $1.76B of net debt, that single variable moves the value toward the Bear case ($14.56).</w:t>
      </w:r>
    </w:p>
    <w:p>
      <w:pPr>
        <w:pStyle w:val="ListParagraph"/>
        <w:numPr>
          <w:ilvl w:val="0"/>
          <w:numId w:val="1"/>
        </w:numPr>
      </w:pPr>
      <w:r>
        <w:t xml:space="preserve">On the upside, a price nearer $20 (≈ Base at 10.5%) would clear the gate under the stricter discount 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2026-09-25T09:08:37.787Z</dcterms:created>
  <dcterms:modified xsi:type="dcterms:W3CDTF">2026-09-25T09:08:37.788Z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