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DY — Dycom Industries, Inc. — Long-Term Deep-Dive</w:t>
      </w:r>
    </w:p>
    <w:p>
      <w:pPr>
        <w:spacing w:after="160"/>
      </w:pPr>
      <w:r>
        <w:rPr>
          <w:b/>
          <w:bCs/>
          <w:sz w:val="21"/>
          <w:szCs w:val="21"/>
        </w:rPr>
        <w:t xml:space="preserve">Date: 2026-09-22 | Price: $293.10 (Sept 22, 2026) | Shares out: ~30.03M | Market cap: ~$8.80B | Total debt: ~$3.05B | Cash: ~$0.549B | Net debt: ~$2.50B</w:t>
      </w:r>
    </w:p>
    <w:p>
      <w:pPr>
        <w:spacing w:after="160"/>
      </w:pPr>
      <w:r>
        <w:rPr>
          <w:b/>
          <w:bCs/>
          <w:sz w:val="21"/>
          <w:szCs w:val="21"/>
        </w:rPr>
        <w:t xml:space="preserve">Bottom line up front: QUALITY-leaning, MoS Gate BASE.</w:t>
      </w:r>
      <w:r>
        <w:rPr>
          <w:sz w:val="21"/>
          <w:szCs w:val="21"/>
        </w:rPr>
        <w:t xml:space="preserve"> Unlike most names in this session's batch, DY's price sits *between* the Bear ($196.67) and Base ($408.09) DCF values, not above Bull — a real consequence of the stock's brutal ~45-48% drawdown from its May 2026 high ($566.47) even as the underlying business (record backlog, record revenue, raised guidance) kept improving. The central tension: is the Sept 2026 selloff a buying opportunity in a genuine AI-fiber-buildout compounder, or a re-rating toward a more normal (lower) multiple for a cyclical, low-margin, customer-concentrated construction contractor that got a temporary AI-narrative premium?</w:t>
      </w:r>
    </w:p>
    <w:p>
      <w:pPr>
        <w:pStyle w:val="Heading2"/>
        <w:spacing w:after="120" w:before="240"/>
      </w:pPr>
      <w:r>
        <w:t xml:space="preserve">0. Recent Context</w:t>
      </w:r>
    </w:p>
    <w:p>
      <w:pPr>
        <w:spacing w:after="160"/>
      </w:pPr>
      <w:r>
        <w:rPr>
          <w:b/>
          <w:bCs/>
          <w:sz w:val="21"/>
          <w:szCs w:val="21"/>
        </w:rPr>
        <w:t xml:space="preserve">Last reported quarter — Q2 FY2027 (three months ended ~August 1, 2026), reported August 26, 2026:</w:t>
      </w:r>
    </w:p>
    <w:p>
      <w:pPr>
        <w:pStyle w:val="ListParagraph"/>
        <w:numPr>
          <w:ilvl w:val="0"/>
          <w:numId w:val="1"/>
        </w:numPr>
        <w:spacing w:after="60"/>
      </w:pPr>
      <w:r>
        <w:rPr>
          <w:sz w:val="21"/>
          <w:szCs w:val="21"/>
        </w:rPr>
        <w:t xml:space="preserve">Revenue </w:t>
      </w:r>
      <w:r>
        <w:rPr>
          <w:b/>
          <w:bCs/>
          <w:sz w:val="21"/>
          <w:szCs w:val="21"/>
        </w:rPr>
        <w:t xml:space="preserve">$2.006B, up 45.6% YoY</w:t>
      </w:r>
      <w:r>
        <w:rPr>
          <w:sz w:val="21"/>
          <w:szCs w:val="21"/>
        </w:rPr>
        <w:t xml:space="preserve"> (record), of which </w:t>
      </w:r>
      <w:r>
        <w:rPr>
          <w:b/>
          <w:bCs/>
          <w:sz w:val="21"/>
          <w:szCs w:val="21"/>
        </w:rPr>
        <w:t xml:space="preserve">16.7% was organic</w:t>
      </w:r>
      <w:r>
        <w:rPr>
          <w:sz w:val="21"/>
          <w:szCs w:val="21"/>
        </w:rPr>
        <w:t xml:space="preserve"> — meaning roughly 29 points of the 45.6% headline growth came from the Power Solutions (Dec 2025, $1.95B) and National Technology Integrators (May 2026, ~$280M) acquisitions, not organic demand.</w:t>
      </w:r>
    </w:p>
    <w:p>
      <w:pPr>
        <w:pStyle w:val="ListParagraph"/>
        <w:numPr>
          <w:ilvl w:val="0"/>
          <w:numId w:val="1"/>
        </w:numPr>
        <w:spacing w:after="60"/>
      </w:pPr>
      <w:r>
        <w:rPr>
          <w:sz w:val="21"/>
          <w:szCs w:val="21"/>
        </w:rPr>
        <w:t xml:space="preserve">Adjusted diluted EPS </w:t>
      </w:r>
      <w:r>
        <w:rPr>
          <w:b/>
          <w:bCs/>
          <w:sz w:val="21"/>
          <w:szCs w:val="21"/>
        </w:rPr>
        <w:t xml:space="preserve">$5.29</w:t>
      </w:r>
      <w:r>
        <w:rPr>
          <w:sz w:val="21"/>
          <w:szCs w:val="21"/>
        </w:rPr>
        <w:t xml:space="preserve">, beating consensus ($4.62) by 14.5%, </w:t>
      </w:r>
      <w:r>
        <w:rPr>
          <w:b/>
          <w:bCs/>
          <w:sz w:val="21"/>
          <w:szCs w:val="21"/>
        </w:rPr>
        <w:t xml:space="preserve">+45% YoY</w:t>
      </w:r>
      <w:r>
        <w:rPr>
          <w:sz w:val="21"/>
          <w:szCs w:val="21"/>
        </w:rPr>
        <w:t xml:space="preserve">.</w:t>
      </w:r>
    </w:p>
    <w:p>
      <w:pPr>
        <w:pStyle w:val="ListParagraph"/>
        <w:numPr>
          <w:ilvl w:val="0"/>
          <w:numId w:val="1"/>
        </w:numPr>
        <w:spacing w:after="60"/>
      </w:pPr>
      <w:r>
        <w:rPr>
          <w:sz w:val="21"/>
          <w:szCs w:val="21"/>
        </w:rPr>
        <w:t xml:space="preserve">Adjusted EBITDA </w:t>
      </w:r>
      <w:r>
        <w:rPr>
          <w:b/>
          <w:bCs/>
          <w:sz w:val="21"/>
          <w:szCs w:val="21"/>
        </w:rPr>
        <w:t xml:space="preserve">$315.5M, +53.5% YoY</w:t>
      </w:r>
      <w:r>
        <w:rPr>
          <w:sz w:val="21"/>
          <w:szCs w:val="21"/>
        </w:rPr>
        <w:t xml:space="preserve">; adjusted EBITDA margin </w:t>
      </w:r>
      <w:r>
        <w:rPr>
          <w:b/>
          <w:bCs/>
          <w:sz w:val="21"/>
          <w:szCs w:val="21"/>
        </w:rPr>
        <w:t xml:space="preserve">15.7%, +81bps YoY</w:t>
      </w:r>
      <w:r>
        <w:rPr>
          <w:sz w:val="21"/>
          <w:szCs w:val="21"/>
        </w:rPr>
        <w:t xml:space="preserve"> — margin expansion continued, but at a slower pace than revenue growth.</w:t>
      </w:r>
    </w:p>
    <w:p>
      <w:pPr>
        <w:pStyle w:val="ListParagraph"/>
        <w:numPr>
          <w:ilvl w:val="0"/>
          <w:numId w:val="1"/>
        </w:numPr>
        <w:spacing w:after="60"/>
      </w:pPr>
      <w:r>
        <w:rPr>
          <w:b/>
          <w:bCs/>
          <w:sz w:val="21"/>
          <w:szCs w:val="21"/>
        </w:rPr>
        <w:t xml:space="preserve">Backlog: $12.2B total, +53.2% YoY</w:t>
      </w:r>
      <w:r>
        <w:rPr>
          <w:sz w:val="21"/>
          <w:szCs w:val="21"/>
        </w:rPr>
        <w:t xml:space="preserve"> (record) — Communications backlog $10.983B (of which $5.362B due within 12 months), Building Systems backlog $1.259B ($1.11B within 12 months). Company disclosed </w:t>
      </w:r>
      <w:r>
        <w:rPr>
          <w:b/>
          <w:bCs/>
          <w:sz w:val="21"/>
          <w:szCs w:val="21"/>
        </w:rPr>
        <w:t xml:space="preserve">&gt;$1B of contracted backlog specifically for long-haul, middle-mile, and "inside the fence" fiber work connecting AI data centers</w:t>
      </w:r>
      <w:r>
        <w:rPr>
          <w:sz w:val="21"/>
          <w:szCs w:val="21"/>
        </w:rPr>
        <w:t xml:space="preserve"> — a confirmed, material, and separately-quantified AI/hyperscaler revenue stream, not just narrative.</w:t>
      </w:r>
    </w:p>
    <w:p>
      <w:pPr>
        <w:pStyle w:val="ListParagraph"/>
        <w:numPr>
          <w:ilvl w:val="0"/>
          <w:numId w:val="1"/>
        </w:numPr>
        <w:spacing w:after="60"/>
      </w:pPr>
      <w:r>
        <w:rPr>
          <w:b/>
          <w:bCs/>
          <w:sz w:val="21"/>
          <w:szCs w:val="21"/>
        </w:rPr>
        <w:t xml:space="preserve">FY2027 guidance raised</w:t>
      </w:r>
      <w:r>
        <w:rPr>
          <w:sz w:val="21"/>
          <w:szCs w:val="21"/>
        </w:rPr>
        <w:t xml:space="preserve"> to revenue $7.48B–$7.66B (from a lower prior range), though </w:t>
      </w:r>
      <w:r>
        <w:rPr>
          <w:b/>
          <w:bCs/>
          <w:sz w:val="21"/>
          <w:szCs w:val="21"/>
        </w:rPr>
        <w:t xml:space="preserve">~$150M of wireless-replacement revenue shifted out into FY2028</w:t>
      </w:r>
      <w:r>
        <w:rPr>
          <w:sz w:val="21"/>
          <w:szCs w:val="21"/>
        </w:rPr>
        <w:t xml:space="preserve"> — a genuine, disclosed deferral, not a miss.</w:t>
      </w:r>
    </w:p>
    <w:p>
      <w:pPr>
        <w:pStyle w:val="ListParagraph"/>
        <w:numPr>
          <w:ilvl w:val="0"/>
          <w:numId w:val="1"/>
        </w:numPr>
        <w:spacing w:after="60"/>
      </w:pPr>
      <w:r>
        <w:rPr>
          <w:b/>
          <w:bCs/>
          <w:sz w:val="21"/>
          <w:szCs w:val="21"/>
        </w:rPr>
        <w:t xml:space="preserve">Stock reaction: DY fell ~7.1% in pre-market trading</w:t>
      </w:r>
      <w:r>
        <w:rPr>
          <w:sz w:val="21"/>
          <w:szCs w:val="21"/>
        </w:rPr>
        <w:t xml:space="preserve"> despite the beat-and-raise, on lower Communications-segment margins, the wireless deferral, and Q3 FY27 EPS guidance that came in slightly below sell-side expectations. KeyBanc cut its price target to $423 (from $610); Cantor Fitzgerald cut to $476 (from $654) — both remain well above the current price, but the magnitude of the cuts (30%+) signals a real re-rating, not just profit-taking.</w:t>
      </w:r>
    </w:p>
    <w:p>
      <w:pPr>
        <w:spacing w:after="160"/>
      </w:pPr>
      <w:r>
        <w:rPr>
          <w:b/>
          <w:bCs/>
          <w:sz w:val="21"/>
          <w:szCs w:val="21"/>
        </w:rPr>
        <w:t xml:space="preserve">Recent news (trailing ~90 days):</w:t>
      </w:r>
    </w:p>
    <w:p>
      <w:pPr>
        <w:pStyle w:val="ListParagraph"/>
        <w:numPr>
          <w:ilvl w:val="0"/>
          <w:numId w:val="1"/>
        </w:numPr>
        <w:spacing w:after="60"/>
      </w:pPr>
      <w:r>
        <w:rPr>
          <w:b/>
          <w:bCs/>
          <w:sz w:val="21"/>
          <w:szCs w:val="21"/>
        </w:rPr>
        <w:t xml:space="preserve">Sept 2026 broader decline</w:t>
      </w:r>
      <w:r>
        <w:rPr>
          <w:sz w:val="21"/>
          <w:szCs w:val="21"/>
        </w:rPr>
        <w:t xml:space="preserve">: DY fell a further ~27% over the trailing month (as of ~Sept 22), extending the post-earnings drop — this coincides with the broader semiconductor/AI-infrastructure sentiment reset flagged elsewhere in this session's research (the Sept 14, 2026 Amodei/Altman/Musk AI-pace commentary that hit NVDA, AVGO, MU, and other AI-capex-linked names) — plausibly correlated given DY's AI-datacenter-fiber narrative, though no source directly attributes DY's move to that specific event; treat as a hypothesis, not confirmed causation.</w:t>
      </w:r>
    </w:p>
    <w:p>
      <w:pPr>
        <w:pStyle w:val="ListParagraph"/>
        <w:numPr>
          <w:ilvl w:val="0"/>
          <w:numId w:val="1"/>
        </w:numPr>
        <w:spacing w:after="60"/>
      </w:pPr>
      <w:r>
        <w:rPr>
          <w:b/>
          <w:bCs/>
          <w:sz w:val="21"/>
          <w:szCs w:val="21"/>
        </w:rPr>
        <w:t xml:space="preserve">M&amp;A</w:t>
      </w:r>
      <w:r>
        <w:rPr>
          <w:sz w:val="21"/>
          <w:szCs w:val="21"/>
        </w:rPr>
        <w:t xml:space="preserve">: Power Solutions acquired Dec 23, 2025 for </w:t>
      </w:r>
      <w:r>
        <w:rPr>
          <w:b/>
          <w:bCs/>
          <w:sz w:val="21"/>
          <w:szCs w:val="21"/>
        </w:rPr>
        <w:t xml:space="preserve">$1.95B</w:t>
      </w:r>
      <w:r>
        <w:rPr>
          <w:sz w:val="21"/>
          <w:szCs w:val="21"/>
        </w:rPr>
        <w:t xml:space="preserve"> — electrical infrastructure for data centers in the Greater Washington D.C./Maryland/Virginia hub (the world's largest data-center market); this is what created the new </w:t>
      </w:r>
      <w:r>
        <w:rPr>
          <w:b/>
          <w:bCs/>
          <w:sz w:val="21"/>
          <w:szCs w:val="21"/>
        </w:rPr>
        <w:t xml:space="preserve">Building Systems</w:t>
      </w:r>
      <w:r>
        <w:rPr>
          <w:sz w:val="21"/>
          <w:szCs w:val="21"/>
        </w:rPr>
        <w:t xml:space="preserve"> reporting segment starting FY2026. National Technology Integrators acquired ~May 22, 2026 for </w:t>
      </w:r>
      <w:r>
        <w:rPr>
          <w:b/>
          <w:bCs/>
          <w:sz w:val="21"/>
          <w:szCs w:val="21"/>
        </w:rPr>
        <w:t xml:space="preserve">~$280M</w:t>
      </w:r>
      <w:r>
        <w:rPr>
          <w:sz w:val="21"/>
          <w:szCs w:val="21"/>
        </w:rPr>
        <w:t xml:space="preserve">, expanding inside-plant/structured-cabling capability for data centers, ~$175M initial annual revenue run-rate. Both are large, debt-funded deals relative to Dycom's size — total debt rose to ~$3.05B from a much smaller base, a material leverage-up.</w:t>
      </w:r>
    </w:p>
    <w:p>
      <w:pPr>
        <w:pStyle w:val="ListParagraph"/>
        <w:numPr>
          <w:ilvl w:val="0"/>
          <w:numId w:val="1"/>
        </w:numPr>
        <w:spacing w:after="60"/>
      </w:pPr>
      <w:r>
        <w:rPr>
          <w:b/>
          <w:bCs/>
          <w:sz w:val="21"/>
          <w:szCs w:val="21"/>
        </w:rPr>
        <w:t xml:space="preserve">Analysts</w:t>
      </w:r>
      <w:r>
        <w:rPr>
          <w:sz w:val="21"/>
          <w:szCs w:val="21"/>
        </w:rPr>
        <w:t xml:space="preserve">: 11 analysts, consensus </w:t>
      </w:r>
      <w:r>
        <w:rPr>
          <w:b/>
          <w:bCs/>
          <w:sz w:val="21"/>
          <w:szCs w:val="21"/>
        </w:rPr>
        <w:t xml:space="preserve">Strong Buy</w:t>
      </w:r>
      <w:r>
        <w:rPr>
          <w:sz w:val="21"/>
          <w:szCs w:val="21"/>
        </w:rPr>
        <w:t xml:space="preserve">, but price targets vary sharply by source/date ($423–$637 range cited across different snapshots) — the post-earnings target cuts (KeyBanc, Cantor) are the most current and most relevant.</w:t>
      </w:r>
    </w:p>
    <w:p>
      <w:pPr>
        <w:pStyle w:val="ListParagraph"/>
        <w:numPr>
          <w:ilvl w:val="0"/>
          <w:numId w:val="1"/>
        </w:numPr>
        <w:spacing w:after="60"/>
      </w:pPr>
      <w:r>
        <w:rPr>
          <w:b/>
          <w:bCs/>
          <w:sz w:val="21"/>
          <w:szCs w:val="21"/>
        </w:rPr>
        <w:t xml:space="preserve">Insiders</w:t>
      </w:r>
      <w:r>
        <w:rPr>
          <w:sz w:val="21"/>
          <w:szCs w:val="21"/>
        </w:rPr>
        <w:t xml:space="preserve">: modest insider selling (~$1.3M over 3 months) alongside at least one insider purchase (director David Fallon bought 700 shares, ~$201K, increasing his stake to 1,043 shares, ~Sept 8) — mixed, not a strong signal either way. Total insider ownership ~3.4–6.1% depending on source (Steven E. Nielsen, Executive Chairman, individually holds ~2.40%). Institutional ownership is very high (87–98% depending on source), anchored by Peconic Partners (~13.71%) and BlackRock (~12.38%).</w:t>
      </w:r>
    </w:p>
    <w:p>
      <w:pPr>
        <w:pStyle w:val="Heading2"/>
        <w:spacing w:after="120" w:before="240"/>
      </w:pPr>
      <w:r>
        <w:t xml:space="preserve">1. Business Overview</w:t>
      </w:r>
    </w:p>
    <w:p>
      <w:pPr>
        <w:spacing w:after="160"/>
      </w:pPr>
      <w:r>
        <w:rPr>
          <w:sz w:val="21"/>
          <w:szCs w:val="21"/>
        </w:rPr>
        <w:t xml:space="preserve">Dycom is a </w:t>
      </w:r>
      <w:r>
        <w:rPr>
          <w:b/>
          <w:bCs/>
          <w:sz w:val="21"/>
          <w:szCs w:val="21"/>
        </w:rPr>
        <w:t xml:space="preserve">specialty contractor</w:t>
      </w:r>
      <w:r>
        <w:rPr>
          <w:sz w:val="21"/>
          <w:szCs w:val="21"/>
        </w:rPr>
        <w:t xml:space="preserve">, not a hardware or software business: it builds and maintains physical telecommunications infrastructure (primarily fiber-optic networks) under </w:t>
      </w:r>
      <w:r>
        <w:rPr>
          <w:b/>
          <w:bCs/>
          <w:sz w:val="21"/>
          <w:szCs w:val="21"/>
        </w:rPr>
        <w:t xml:space="preserve">master service agreements (MSAs)</w:t>
      </w:r>
      <w:r>
        <w:rPr>
          <w:sz w:val="21"/>
          <w:szCs w:val="21"/>
        </w:rPr>
        <w:t xml:space="preserve"> with large telecom carriers, plus project-based work. Revenue visibility comes from </w:t>
      </w:r>
      <w:r>
        <w:rPr>
          <w:b/>
          <w:bCs/>
          <w:sz w:val="21"/>
          <w:szCs w:val="21"/>
        </w:rPr>
        <w:t xml:space="preserve">backlog</w:t>
      </w:r>
      <w:r>
        <w:rPr>
          <w:sz w:val="21"/>
          <w:szCs w:val="21"/>
        </w:rPr>
        <w:t xml:space="preserve"> (contracted future work), not recurring subscription-style revenue — the correct forward-looking metric for this business, per the framework's Industrials appendix.</w:t>
      </w:r>
    </w:p>
    <w:p>
      <w:pPr>
        <w:spacing w:after="160"/>
      </w:pPr>
      <w:r>
        <w:rPr>
          <w:b/>
          <w:bCs/>
          <w:sz w:val="21"/>
          <w:szCs w:val="21"/>
        </w:rPr>
        <w:t xml:space="preserve">Segments (new structure since FY2026):</w:t>
      </w:r>
    </w:p>
    <w:p>
      <w:pPr>
        <w:pStyle w:val="ListParagraph"/>
        <w:numPr>
          <w:ilvl w:val="0"/>
          <w:numId w:val="1"/>
        </w:numPr>
        <w:spacing w:after="60"/>
      </w:pPr>
      <w:r>
        <w:rPr>
          <w:b/>
          <w:bCs/>
          <w:sz w:val="21"/>
          <w:szCs w:val="21"/>
        </w:rPr>
        <w:t xml:space="preserve">Communications</w:t>
      </w:r>
      <w:r>
        <w:rPr>
          <w:sz w:val="21"/>
          <w:szCs w:val="21"/>
        </w:rPr>
        <w:t xml:space="preserve"> — the core, legacy business: fiber-to-the-home construction, long-haul/middle-mile fiber builds, maintenance/operations services for telecom carriers. ~$10.98B of the $12.2B total backlog.</w:t>
      </w:r>
    </w:p>
    <w:p>
      <w:pPr>
        <w:pStyle w:val="ListParagraph"/>
        <w:numPr>
          <w:ilvl w:val="0"/>
          <w:numId w:val="1"/>
        </w:numPr>
        <w:spacing w:after="60"/>
      </w:pPr>
      <w:r>
        <w:rPr>
          <w:b/>
          <w:bCs/>
          <w:sz w:val="21"/>
          <w:szCs w:val="21"/>
        </w:rPr>
        <w:t xml:space="preserve">Building Systems</w:t>
      </w:r>
      <w:r>
        <w:rPr>
          <w:sz w:val="21"/>
          <w:szCs w:val="21"/>
        </w:rPr>
        <w:t xml:space="preserve"> (new in FY2026, via the Power Solutions and NTI acquisitions) — electrical infrastructure, energy management, security, fire safety, and structured cabling for data centers and other critical facilities. ~$1.26B of backlog.</w:t>
      </w:r>
    </w:p>
    <w:p>
      <w:pPr>
        <w:spacing w:after="160"/>
      </w:pPr>
      <w:r>
        <w:rPr>
          <w:b/>
          <w:bCs/>
          <w:sz w:val="21"/>
          <w:szCs w:val="21"/>
        </w:rPr>
        <w:t xml:space="preserve">Customer concentration (FY2026, material and real):</w:t>
      </w:r>
      <w:r>
        <w:rPr>
          <w:sz w:val="21"/>
          <w:szCs w:val="21"/>
        </w:rPr>
        <w:t xml:space="preserve"> AT&amp;T ~25.4%, Verizon ~14.0%, Lumen ~10.8% — roughly </w:t>
      </w:r>
      <w:r>
        <w:rPr>
          <w:b/>
          <w:bCs/>
          <w:sz w:val="21"/>
          <w:szCs w:val="21"/>
        </w:rPr>
        <w:t xml:space="preserve">50% of revenue from three customers</w:t>
      </w:r>
      <w:r>
        <w:rPr>
          <w:sz w:val="21"/>
          <w:szCs w:val="21"/>
        </w:rPr>
        <w:t xml:space="preserve">. (FY2025 comparison: top 5 customers ≈55.4% of revenue — AT&amp;T 20.1%, Lumen 12.1%, Comcast 8.5%, Charter 7.3%, one other 7.4%.) This concentration has been a structural feature of the business for over a decade (FY2011 top-5 concentration ~62%; FY2021 ~74.1%) — somewhat improved but still a real single-customer risk (AT&amp;T alone at ~25%).</w:t>
      </w:r>
    </w:p>
    <w:p>
      <w:pPr>
        <w:spacing w:after="160"/>
      </w:pPr>
      <w:r>
        <w:rPr>
          <w:b/>
          <w:bCs/>
          <w:sz w:val="21"/>
          <w:szCs w:val="21"/>
        </w:rPr>
        <w:t xml:space="preserve">TAM</w:t>
      </w:r>
      <w:r>
        <w:rPr>
          <w:sz w:val="21"/>
          <w:szCs w:val="21"/>
        </w:rPr>
        <w:t xml:space="preserve">: two genuinely separate opportunities, not to be conflated — 1. </w:t>
      </w:r>
      <w:r>
        <w:rPr>
          <w:b/>
          <w:bCs/>
          <w:sz w:val="21"/>
          <w:szCs w:val="21"/>
        </w:rPr>
        <w:t xml:space="preserve">Traditional telecom/broadband fiber buildout</w:t>
      </w:r>
      <w:r>
        <w:rPr>
          <w:sz w:val="21"/>
          <w:szCs w:val="21"/>
        </w:rPr>
        <w:t xml:space="preserve"> — an established, multi-decade market (fiber-to-the-home penetration still incomplete across the US), the source of most current revenue. 2. </w:t>
      </w:r>
      <w:r>
        <w:rPr>
          <w:b/>
          <w:bCs/>
          <w:sz w:val="21"/>
          <w:szCs w:val="21"/>
        </w:rPr>
        <w:t xml:space="preserve">AI-datacenter fiber interconnect</w:t>
      </w:r>
      <w:r>
        <w:rPr>
          <w:sz w:val="21"/>
          <w:szCs w:val="21"/>
        </w:rPr>
        <w:t xml:space="preserve"> — an emerging, company-disclosed and separately-quantified opportunity (&gt;$1B of current backlog specifically tied to hyperscaler long-haul/middle-mile/inside-the-fence connectivity), driven by hyperscalers raising capex guidance for AI buildout, the need for ultra-low-latency diverse-routed networks, and edge-datacenter buildout for inference workloads. No independent third-party TAM figure for this specific sub-market was found this pass — treat the &gt;$1B backlog figure as the best available, company-disclosed anchor, not a market-size estimate.</w:t>
      </w:r>
    </w:p>
    <w:p>
      <w:pPr>
        <w:pStyle w:val="Heading2"/>
        <w:spacing w:after="120" w:before="240"/>
      </w:pPr>
      <w:r>
        <w:t xml:space="preserve">2. Routing</w:t>
      </w:r>
    </w:p>
    <w:p>
      <w:pPr>
        <w:spacing w:after="160"/>
      </w:pPr>
      <w:r>
        <w:rPr>
          <w:b/>
          <w:bCs/>
          <w:sz w:val="21"/>
          <w:szCs w:val="21"/>
        </w:rPr>
        <w:t xml:space="preserve">Track A – ID (Industrials, specifically specialty/engineering construction services).</w:t>
      </w:r>
      <w:r>
        <w:rPr>
          <w:sz w:val="21"/>
          <w:szCs w:val="21"/>
        </w:rPr>
        <w:t xml:space="preserve"> This is a genuine judgment call given the AI-datacenter narrative now attached to the stock, but the underlying business — project-based, backlog-driven, MSA-contracted physical construction work — is textbook Industrials, not a growth/software business. The Industrials sector appendix (book-to-bill, backlog/revenue, organic growth, EBIT margin, aftermarket/service %) is applied as the primary quantitative table (Section 10) regardless of the AI narrative, since that is the correct framework for how this business actually generates and recognizes revenue. The AI/hyperscaler exposure is treated as a genuine, disclosed, and growing </w:t>
      </w:r>
      <w:r>
        <w:rPr>
          <w:b/>
          <w:bCs/>
          <w:sz w:val="21"/>
          <w:szCs w:val="21"/>
        </w:rPr>
        <w:t xml:space="preserve">within</w:t>
      </w:r>
      <w:r>
        <w:rPr>
          <w:sz w:val="21"/>
          <w:szCs w:val="21"/>
        </w:rPr>
        <w:t xml:space="preserve"> that framework (via the backlog composition), not as grounds to re-route the whole company to a growth track.</w:t>
      </w:r>
    </w:p>
    <w:p>
      <w:pPr>
        <w:pStyle w:val="Heading2"/>
        <w:spacing w:after="120" w:before="240"/>
      </w:pPr>
      <w:r>
        <w:t xml:space="preserve">3. Categorization (Lynch)</w:t>
      </w:r>
    </w:p>
    <w:p>
      <w:pPr>
        <w:spacing w:after="160"/>
      </w:pPr>
      <w:r>
        <w:rPr>
          <w:b/>
          <w:bCs/>
          <w:sz w:val="21"/>
          <w:szCs w:val="21"/>
        </w:rPr>
        <w:t xml:space="preserve">Fast Grower, with real Cyclical and M&amp;A-driven caveats.</w:t>
      </w:r>
      <w:r>
        <w:rPr>
          <w:sz w:val="21"/>
          <w:szCs w:val="21"/>
        </w:rPr>
        <w:t xml:space="preserve"> Headline revenue growth (17.95% FY26, guided 35%+ FY27) clears the 20-25% Fast Grower bar on a reported basis, but </w:t>
      </w:r>
      <w:r>
        <w:rPr>
          <w:b/>
          <w:bCs/>
          <w:sz w:val="21"/>
          <w:szCs w:val="21"/>
        </w:rPr>
        <w:t xml:space="preserve">organic growth was 16.7%</w:t>
      </w:r>
      <w:r>
        <w:rPr>
          <w:sz w:val="21"/>
          <w:szCs w:val="21"/>
        </w:rPr>
        <w:t xml:space="preserve"> in the most recent quarter — genuinely fast, but not clearing the bar on an apples-to-apples basis once acquisitions are stripped out. The business has also shown real cyclicality before (FY22 revenue essentially flat/-1.8% vs. FY21, reflecting a telecom-capex pause) — this is not a business immune to a slowdown in carrier or hyperscaler capex. Categorize as Fast Grower for now, but with the explicit caveat that a meaningful share of the current growth rate is inorganic and the underlying end-market (telecom capex) has a demonstrated cyclical history.</w:t>
      </w:r>
    </w:p>
    <w:p>
      <w:pPr>
        <w:pStyle w:val="Heading2"/>
        <w:spacing w:after="120" w:before="240"/>
      </w:pPr>
      <w:r>
        <w:t xml:space="preserve">4. Earnings Quality (Penman)</w:t>
      </w:r>
    </w:p>
    <w:p>
      <w:pPr>
        <w:pStyle w:val="ListParagraph"/>
        <w:numPr>
          <w:ilvl w:val="0"/>
          <w:numId w:val="1"/>
        </w:numPr>
        <w:spacing w:after="60"/>
      </w:pPr>
      <w:r>
        <w:rPr>
          <w:b/>
          <w:bCs/>
          <w:sz w:val="21"/>
          <w:szCs w:val="21"/>
        </w:rPr>
        <w:t xml:space="preserve">Accrual signal</w:t>
      </w:r>
      <w:r>
        <w:rPr>
          <w:sz w:val="21"/>
          <w:szCs w:val="21"/>
        </w:rPr>
        <w:t xml:space="preserve">: not independently computed this pass — operating cash flow and total assets figures were not retrieved to the standard needed for a Jones/Sloan accrual ratio; flagged as unavailable rather than estimated. (Note: one source claimed "$37.9 billion in free cash flow" for the quarter — this is almost certainly a reporting/transcription error, since it would exceed several years of total company revenue; disregarded rather than repeated.)</w:t>
      </w:r>
    </w:p>
    <w:p>
      <w:pPr>
        <w:pStyle w:val="ListParagraph"/>
        <w:numPr>
          <w:ilvl w:val="0"/>
          <w:numId w:val="1"/>
        </w:numPr>
        <w:spacing w:after="60"/>
      </w:pPr>
      <w:r>
        <w:rPr>
          <w:b/>
          <w:bCs/>
          <w:sz w:val="21"/>
          <w:szCs w:val="21"/>
        </w:rPr>
        <w:t xml:space="preserve">RNOA vs. leverage</w:t>
      </w:r>
      <w:r>
        <w:rPr>
          <w:sz w:val="21"/>
          <w:szCs w:val="21"/>
        </w:rPr>
        <w:t xml:space="preserve">: Debt/Equity rose to </w:t>
      </w:r>
      <w:r>
        <w:rPr>
          <w:b/>
          <w:bCs/>
          <w:sz w:val="21"/>
          <w:szCs w:val="21"/>
        </w:rPr>
        <w:t xml:space="preserve">1.58x</w:t>
      </w:r>
      <w:r>
        <w:rPr>
          <w:sz w:val="21"/>
          <w:szCs w:val="21"/>
        </w:rPr>
        <w:t xml:space="preserve"> (+94.4% YoY) following the debt-funded Power Solutions and NTI acquisitions — a real, material increase in financial leverage. Current ratio 2.58 (healthy short-term liquidity). Full RNOA decomposition (operating return vs. leverage effect) not completed this pass due to equity/invested-capital figures not being independently sourced — flagged, not imputed. The leverage increase itself is a genuine flag: recent ROE improvement should be checked in future updates for how much is operating-margin-driven vs. leverage-driven, given the debt jump.</w:t>
      </w:r>
    </w:p>
    <w:p>
      <w:pPr>
        <w:pStyle w:val="ListParagraph"/>
        <w:numPr>
          <w:ilvl w:val="0"/>
          <w:numId w:val="1"/>
        </w:numPr>
        <w:spacing w:after="60"/>
      </w:pPr>
      <w:r>
        <w:rPr>
          <w:b/>
          <w:bCs/>
          <w:sz w:val="21"/>
          <w:szCs w:val="21"/>
        </w:rPr>
        <w:t xml:space="preserve">Margin trend (actual figures)</w:t>
      </w:r>
      <w:r>
        <w:rPr>
          <w:sz w:val="21"/>
          <w:szCs w:val="21"/>
        </w:rPr>
        <w:t xml:space="preserve">: operating margin </w:t>
      </w:r>
      <w:r>
        <w:rPr>
          <w:b/>
          <w:bCs/>
          <w:sz w:val="21"/>
          <w:szCs w:val="21"/>
        </w:rPr>
        <w:t xml:space="preserve">3.8% (FY21) → 7.33% (FY25)</w:t>
      </w:r>
      <w:r>
        <w:rPr>
          <w:sz w:val="21"/>
          <w:szCs w:val="21"/>
        </w:rPr>
        <w:t xml:space="preserve"> — a genuine, multi-year, near-doubling of operating margin. Adjusted EBITDA margin most recently </w:t>
      </w:r>
      <w:r>
        <w:rPr>
          <w:b/>
          <w:bCs/>
          <w:sz w:val="21"/>
          <w:szCs w:val="21"/>
        </w:rPr>
        <w:t xml:space="preserve">15.7% (Q2 FY27), +81bps YoY</w:t>
      </w:r>
      <w:r>
        <w:rPr>
          <w:sz w:val="21"/>
          <w:szCs w:val="21"/>
        </w:rPr>
        <w:t xml:space="preserve"> — continued expansion, though at a decelerating rate of improvement (81bps this quarter vs. faster expansion in some prior periods).</w:t>
      </w:r>
    </w:p>
    <w:p>
      <w:pPr>
        <w:pStyle w:val="ListParagraph"/>
        <w:numPr>
          <w:ilvl w:val="0"/>
          <w:numId w:val="1"/>
        </w:numPr>
        <w:spacing w:after="60"/>
      </w:pPr>
      <w:r>
        <w:rPr>
          <w:b/>
          <w:bCs/>
          <w:sz w:val="21"/>
          <w:szCs w:val="21"/>
        </w:rPr>
        <w:t xml:space="preserve">Dilution</w:t>
      </w:r>
      <w:r>
        <w:rPr>
          <w:sz w:val="21"/>
          <w:szCs w:val="21"/>
        </w:rPr>
        <w:t xml:space="preserve">: shares outstanding </w:t>
      </w:r>
      <w:r>
        <w:rPr>
          <w:b/>
          <w:bCs/>
          <w:sz w:val="21"/>
          <w:szCs w:val="21"/>
        </w:rPr>
        <w:t xml:space="preserve">+1.00% over the trailing year</w:t>
      </w:r>
      <w:r>
        <w:rPr>
          <w:sz w:val="21"/>
          <w:szCs w:val="21"/>
        </w:rPr>
        <w:t xml:space="preserve"> — minor, not a red flag, especially set against 18-45%+ revenue growth.</w:t>
      </w:r>
    </w:p>
    <w:p>
      <w:pPr>
        <w:pStyle w:val="ListParagraph"/>
        <w:numPr>
          <w:ilvl w:val="0"/>
          <w:numId w:val="1"/>
        </w:numPr>
        <w:spacing w:after="60"/>
      </w:pPr>
      <w:r>
        <w:rPr>
          <w:b/>
          <w:bCs/>
          <w:sz w:val="21"/>
          <w:szCs w:val="21"/>
        </w:rPr>
        <w:t xml:space="preserve">Working capital / receivables</w:t>
      </w:r>
      <w:r>
        <w:rPr>
          <w:sz w:val="21"/>
          <w:szCs w:val="21"/>
        </w:rPr>
        <w:t xml:space="preserve">: construction-services businesses like Dycom are structurally exposed to retainage (5-10% of contract value legally withheld until project completion) and progress billing, typically producing 60-90 day DSO — this is an industry-standard risk, not confirmed with Dycom-specific figures this pass (not sourced) — flagged as a known risk category to monitor, not quantified here.</w:t>
      </w:r>
    </w:p>
    <w:p>
      <w:pPr>
        <w:pStyle w:val="Heading2"/>
        <w:spacing w:after="120" w:before="240"/>
      </w:pPr>
      <w:r>
        <w:t xml:space="preserve">5. Valuation — DCF (Koller)</w:t>
      </w:r>
    </w:p>
    <w:p>
      <w:pPr>
        <w:pStyle w:val="Heading3"/>
        <w:spacing w:after="120" w:before="240"/>
      </w:pPr>
      <w:r>
        <w:t xml:space="preserve">WACC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bl>
    <w:p>
      <w:pPr>
        <w:spacing w:after="160"/>
      </w:pPr>
    </w:p>
    <w:p>
      <w:pPr>
        <w:pStyle w:val="Heading3"/>
        <w:spacing w:after="120" w:before="240"/>
      </w:pPr>
      <w:r>
        <w:t xml:space="preserve">Bear / Base / Bull (FY27–FY33 explicit forecast, Key Value Driver terminal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bl>
    <w:p>
      <w:pPr>
        <w:spacing w:after="160"/>
      </w:pPr>
    </w:p>
    <w:p>
      <w:pPr>
        <w:spacing w:after="160"/>
      </w:pPr>
      <w:r>
        <w:rPr>
          <w:b/>
          <w:bCs/>
          <w:sz w:val="21"/>
          <w:szCs w:val="21"/>
        </w:rPr>
        <w:t xml:space="preserve">Cross-check (EV/Revenue)</w:t>
      </w:r>
      <w:r>
        <w:rPr>
          <w:sz w:val="21"/>
          <w:szCs w:val="21"/>
        </w:rPr>
        <w:t xml:space="preserve">: current EV (~$11.3B) / FY27 Base-case revenue ($7.57B) ≈ </w:t>
      </w:r>
      <w:r>
        <w:rPr>
          <w:b/>
          <w:bCs/>
          <w:sz w:val="21"/>
          <w:szCs w:val="21"/>
        </w:rPr>
        <w:t xml:space="preserve">1.49x</w:t>
      </w:r>
      <w:r>
        <w:rPr>
          <w:sz w:val="21"/>
          <w:szCs w:val="21"/>
        </w:rPr>
        <w:t xml:space="preserve"> — and implied EV/EBITDA at the FY27 guide (~15% margin → ~$1.14B EBITDA) ≈ </w:t>
      </w:r>
      <w:r>
        <w:rPr>
          <w:b/>
          <w:bCs/>
          <w:sz w:val="21"/>
          <w:szCs w:val="21"/>
        </w:rPr>
        <w:t xml:space="preserve">~9.9x</w:t>
      </w:r>
      <w:r>
        <w:rPr>
          <w:sz w:val="21"/>
          <w:szCs w:val="21"/>
        </w:rPr>
        <w:t xml:space="preserve">, sitting right at the boundary between "acceptable" (8-10x) and "quality" (10-14x) on the Industrials sector table — a sane, non-degenerate cross-check, not an outlier.</w:t>
      </w:r>
    </w:p>
    <w:p>
      <w:pPr>
        <w:spacing w:after="160"/>
      </w:pPr>
      <w:r>
        <w:rPr>
          <w:b/>
          <w:bCs/>
          <w:sz w:val="21"/>
          <w:szCs w:val="21"/>
        </w:rPr>
        <w:t xml:space="preserve">MoS Gate: BASE.</w:t>
      </w:r>
      <w:r>
        <w:rPr>
          <w:sz w:val="21"/>
          <w:szCs w:val="21"/>
        </w:rPr>
        <w:t xml:space="preserve"> Current price ($293.10) is </w:t>
      </w:r>
      <w:r>
        <w:rPr>
          <w:b/>
          <w:bCs/>
          <w:sz w:val="21"/>
          <w:szCs w:val="21"/>
        </w:rPr>
        <w:t xml:space="preserve">above Bear ($196.67) but below Base ($408.09)</w:t>
      </w:r>
      <w:r>
        <w:rPr>
          <w:sz w:val="21"/>
          <w:szCs w:val="21"/>
        </w:rPr>
        <w:t xml:space="preserve"> — a materially more favorable finding than most names reviewed this session (LITE, MU priced above their own Bull cases). This licenses at most the QUALITY tier, not COMPOUNDER, and is conditional on the assumptions above — particularly the Bear case's assumption of no further margin expansion, which the recent quarter's slowing margin-expansion pace (81bps vs. faster historical periods) makes a genuinely live risk, not a purely theoretical one.</w:t>
      </w:r>
    </w:p>
    <w:p>
      <w:pPr>
        <w:pStyle w:val="Heading2"/>
        <w:spacing w:after="120" w:before="240"/>
      </w:pPr>
      <w:r>
        <w:t xml:space="preserve">6. Mauboussin — Price-Implied Expectations</w:t>
      </w:r>
    </w:p>
    <w:p>
      <w:pPr>
        <w:spacing w:after="160"/>
      </w:pPr>
      <w:r>
        <w:rPr>
          <w:sz w:val="21"/>
          <w:szCs w:val="21"/>
        </w:rPr>
        <w:t xml:space="preserve">At WACC 9.4%, today's price ($293.10, implying an EV of ~$11.3B) sits closer to the Base case ($408.09) than to Bear — in Mauboussin's framework terms, the market is pricing in </w:t>
      </w:r>
      <w:r>
        <w:rPr>
          <w:b/>
          <w:bCs/>
          <w:sz w:val="21"/>
          <w:szCs w:val="21"/>
        </w:rPr>
        <w:t xml:space="preserve">continued execution on the AI-datacenter fiber buildout plus successful integration of the two large FY2026 acquisitions</w:t>
      </w:r>
      <w:r>
        <w:rPr>
          <w:sz w:val="21"/>
          <w:szCs w:val="21"/>
        </w:rPr>
        <w:t xml:space="preserve">, but is </w:t>
      </w:r>
      <w:r>
        <w:rPr>
          <w:b/>
          <w:bCs/>
          <w:sz w:val="21"/>
          <w:szCs w:val="21"/>
        </w:rPr>
        <w:t xml:space="preserve">not</w:t>
      </w:r>
      <w:r>
        <w:rPr>
          <w:sz w:val="21"/>
          <w:szCs w:val="21"/>
        </w:rPr>
        <w:t xml:space="preserve"> pricing in the Bull-case scenario of a sustained, accelerating multi-year ramp. This is a genuinely more moderate ask than this session's semiconductor/optics names (LITE, MU, MXL), where price sat above or near the Bull case.</w:t>
      </w:r>
    </w:p>
    <w:p>
      <w:pPr>
        <w:spacing w:after="160"/>
      </w:pPr>
      <w:r>
        <w:rPr>
          <w:b/>
          <w:bCs/>
          <w:sz w:val="21"/>
          <w:szCs w:val="21"/>
        </w:rPr>
        <w:t xml:space="preserve">What has to be true</w:t>
      </w:r>
      <w:r>
        <w:rPr>
          <w:sz w:val="21"/>
          <w:szCs w:val="21"/>
        </w:rPr>
        <w:t xml:space="preserve">: organic growth needs to stay well above the historical mid-single-digit telecom-capex-cycle norm (the FY22 near-flat year is the base-rate warning here), the newly-acquired Building Systems segment needs to scale profitably without integration missteps, and the AI-datacenter-fiber backlog (&gt;$1B, confirmed) needs to keep growing rather than plateau — none of which is guaranteed, but none of which requires a "best quarter in company history becomes the permanent baseline" assumption of the kind found in this session's MU analysis.</w:t>
      </w:r>
    </w:p>
    <w:p>
      <w:pPr>
        <w:spacing w:after="160"/>
      </w:pPr>
      <w:r>
        <w:rPr>
          <w:b/>
          <w:bCs/>
          <w:sz w:val="21"/>
          <w:szCs w:val="21"/>
        </w:rPr>
        <w:t xml:space="preserve">Moat and CAP</w:t>
      </w:r>
      <w:r>
        <w:rPr>
          <w:sz w:val="21"/>
          <w:szCs w:val="21"/>
        </w:rPr>
        <w:t xml:space="preserve">: primarily </w:t>
      </w:r>
      <w:r>
        <w:rPr>
          <w:b/>
          <w:bCs/>
          <w:sz w:val="21"/>
          <w:szCs w:val="21"/>
        </w:rPr>
        <w:t xml:space="preserve">cost advantage / efficient scale</w:t>
      </w:r>
      <w:r>
        <w:rPr>
          <w:sz w:val="21"/>
          <w:szCs w:val="21"/>
        </w:rPr>
        <w:t xml:space="preserve"> — Dycom is one of the largest specialty telecom contractors, with regional density and long-standing MSA relationships providing a real but not impregnable edge; a secondary, weaker </w:t>
      </w:r>
      <w:r>
        <w:rPr>
          <w:b/>
          <w:bCs/>
          <w:sz w:val="21"/>
          <w:szCs w:val="21"/>
        </w:rPr>
        <w:t xml:space="preserve">switching-cost</w:t>
      </w:r>
      <w:r>
        <w:rPr>
          <w:sz w:val="21"/>
          <w:szCs w:val="21"/>
        </w:rPr>
        <w:t xml:space="preserve"> element exists in MSAs (carriers don't re-bid every project, and integration into a carrier's operations has some inertia), but this is genuinely narrower than a true switching-cost moat (MSAs are periodically re-bid, and the extreme customer concentration is itself evidence the relationships are commercial, not structurally locked-in). </w:t>
      </w:r>
      <w:r>
        <w:rPr>
          <w:b/>
          <w:bCs/>
          <w:sz w:val="21"/>
          <w:szCs w:val="21"/>
        </w:rPr>
        <w:t xml:space="preserve">CAP estimated at 5-7 years</w:t>
      </w:r>
      <w:r>
        <w:rPr>
          <w:sz w:val="21"/>
          <w:szCs w:val="21"/>
        </w:rPr>
        <w:t xml:space="preserve"> (narrow-to-moderate moat) — the confirmed customer concentration and demonstrated cyclicality argue against a longer estimate.</w:t>
      </w:r>
    </w:p>
    <w:p>
      <w:pPr>
        <w:pStyle w:val="Heading2"/>
        <w:spacing w:after="120" w:before="240"/>
      </w:pPr>
      <w:r>
        <w:t xml:space="preserve">7. Fisher — Qualitative Checklist</w:t>
      </w:r>
    </w:p>
    <w:p>
      <w:pPr>
        <w:pStyle w:val="ListParagraph"/>
        <w:numPr>
          <w:ilvl w:val="0"/>
          <w:numId w:val="1"/>
        </w:numPr>
        <w:spacing w:after="60"/>
      </w:pPr>
      <w:r>
        <w:rPr>
          <w:b/>
          <w:bCs/>
          <w:sz w:val="21"/>
          <w:szCs w:val="21"/>
        </w:rPr>
        <w:t xml:space="preserve">#5/#6 (margins, and what management is doing about them)</w:t>
      </w:r>
      <w:r>
        <w:rPr>
          <w:sz w:val="21"/>
          <w:szCs w:val="21"/>
        </w:rPr>
        <w:t xml:space="preserve">: positive trend — operating margin nearly doubled FY21→FY25 (3.8%→7.33%), adjusted EBITDA margin continuing to expand (15.7%, +81bps YoY) — genuine, sustained, multi-year improvement, not a one-quarter blip.</w:t>
      </w:r>
    </w:p>
    <w:p>
      <w:pPr>
        <w:pStyle w:val="ListParagraph"/>
        <w:numPr>
          <w:ilvl w:val="0"/>
          <w:numId w:val="1"/>
        </w:numPr>
        <w:spacing w:after="60"/>
      </w:pPr>
      <w:r>
        <w:rPr>
          <w:b/>
          <w:bCs/>
          <w:sz w:val="21"/>
          <w:szCs w:val="21"/>
        </w:rPr>
        <w:t xml:space="preserve">#11 (competitive edge)</w:t>
      </w:r>
      <w:r>
        <w:rPr>
          <w:sz w:val="21"/>
          <w:szCs w:val="21"/>
        </w:rPr>
        <w:t xml:space="preserve">: real but concentrated — scale/density as the largest independent player in a fragmented specialty-contractor market, now extended into data-center Building Systems via acquisition; tempered by the customer-concentration risk (AT&amp;T ~25%, top 3 ~50%).</w:t>
      </w:r>
    </w:p>
    <w:p>
      <w:pPr>
        <w:pStyle w:val="ListParagraph"/>
        <w:numPr>
          <w:ilvl w:val="0"/>
          <w:numId w:val="1"/>
        </w:numPr>
        <w:spacing w:after="60"/>
      </w:pPr>
      <w:r>
        <w:rPr>
          <w:b/>
          <w:bCs/>
          <w:sz w:val="21"/>
          <w:szCs w:val="21"/>
        </w:rPr>
        <w:t xml:space="preserve">#13 (dilution/equity financing need)</w:t>
      </w:r>
      <w:r>
        <w:rPr>
          <w:sz w:val="21"/>
          <w:szCs w:val="21"/>
        </w:rPr>
        <w:t xml:space="preserve">: minor share dilution (+1%/yr) is not the concern — the real capital-structure flag is the </w:t>
      </w:r>
      <w:r>
        <w:rPr>
          <w:b/>
          <w:bCs/>
          <w:sz w:val="21"/>
          <w:szCs w:val="21"/>
        </w:rPr>
        <w:t xml:space="preserve">debt-funded M&amp;A</w:t>
      </w:r>
      <w:r>
        <w:rPr>
          <w:sz w:val="21"/>
          <w:szCs w:val="21"/>
        </w:rPr>
        <w:t xml:space="preserve"> (Power Solutions $1.95B, NTI ~$280M) that pushed Debt/Equity to 1.58x (+94.4% YoY). This is Fisher's "will growth require financing that changes the risk profile" question answered via debt rather than equity — a real increase in financial risk even without dilution.</w:t>
      </w:r>
    </w:p>
    <w:p>
      <w:pPr>
        <w:pStyle w:val="ListParagraph"/>
        <w:numPr>
          <w:ilvl w:val="0"/>
          <w:numId w:val="1"/>
        </w:numPr>
        <w:spacing w:after="60"/>
      </w:pPr>
      <w:r>
        <w:rPr>
          <w:b/>
          <w:bCs/>
          <w:sz w:val="21"/>
          <w:szCs w:val="21"/>
        </w:rPr>
        <w:t xml:space="preserve">#15 (management integrity/disclosure)</w:t>
      </w:r>
      <w:r>
        <w:rPr>
          <w:sz w:val="21"/>
          <w:szCs w:val="21"/>
        </w:rPr>
        <w:t xml:space="preserve">: no evasiveness found — management proactively disclosed the $150M wireless-revenue deferral to FY28 alongside the guidance raise rather than obscuring it, and separately quantified the AI-datacenter-specific backlog rather than leaving it as vague narrative. A genuine transparency positive.</w:t>
      </w:r>
    </w:p>
    <w:p>
      <w:pPr>
        <w:pStyle w:val="Heading2"/>
        <w:spacing w:after="120" w:before="240"/>
      </w:pPr>
      <w:r>
        <w:t xml:space="preserve">8. Ilmanen — Factor Read</w:t>
      </w:r>
    </w:p>
    <w:p>
      <w:pPr>
        <w:pStyle w:val="ListParagraph"/>
        <w:numPr>
          <w:ilvl w:val="0"/>
          <w:numId w:val="1"/>
        </w:numPr>
        <w:spacing w:after="60"/>
      </w:pPr>
      <w:r>
        <w:rPr>
          <w:b/>
          <w:bCs/>
          <w:sz w:val="21"/>
          <w:szCs w:val="21"/>
        </w:rPr>
        <w:t xml:space="preserve">Value</w:t>
      </w:r>
      <w:r>
        <w:rPr>
          <w:sz w:val="21"/>
          <w:szCs w:val="21"/>
        </w:rPr>
        <w:t xml:space="preserve">: mixed-to-present after the drawdown — EV/EBITDA (~9.9x) sits at the low end of the sector's "quality" band, a real change from where the stock likely traded near its May 2026 high.</w:t>
      </w:r>
    </w:p>
    <w:p>
      <w:pPr>
        <w:pStyle w:val="ListParagraph"/>
        <w:numPr>
          <w:ilvl w:val="0"/>
          <w:numId w:val="1"/>
        </w:numPr>
        <w:spacing w:after="60"/>
      </w:pPr>
      <w:r>
        <w:rPr>
          <w:b/>
          <w:bCs/>
          <w:sz w:val="21"/>
          <w:szCs w:val="21"/>
        </w:rPr>
        <w:t xml:space="preserve">Quality/Profitability</w:t>
      </w:r>
      <w:r>
        <w:rPr>
          <w:sz w:val="21"/>
          <w:szCs w:val="21"/>
        </w:rPr>
        <w:t xml:space="preserve">: present and improving — sustained multi-year margin expansion, though the recent leverage increase (D/E 1.58x) is a genuine quality offset not fully captured by the margin trend alone.</w:t>
      </w:r>
    </w:p>
    <w:p>
      <w:pPr>
        <w:pStyle w:val="ListParagraph"/>
        <w:numPr>
          <w:ilvl w:val="0"/>
          <w:numId w:val="1"/>
        </w:numPr>
        <w:spacing w:after="60"/>
      </w:pPr>
      <w:r>
        <w:rPr>
          <w:b/>
          <w:bCs/>
          <w:sz w:val="21"/>
          <w:szCs w:val="21"/>
        </w:rPr>
        <w:t xml:space="preserve">Momentum</w:t>
      </w:r>
      <w:r>
        <w:rPr>
          <w:sz w:val="21"/>
          <w:szCs w:val="21"/>
        </w:rPr>
        <w:t xml:space="preserve">: </w:t>
      </w:r>
      <w:r>
        <w:rPr>
          <w:b/>
          <w:bCs/>
          <w:sz w:val="21"/>
          <w:szCs w:val="21"/>
        </w:rPr>
        <w:t xml:space="preserve">strongly negative</w:t>
      </w:r>
      <w:r>
        <w:rPr>
          <w:sz w:val="21"/>
          <w:szCs w:val="21"/>
        </w:rPr>
        <w:t xml:space="preserve"> — down ~45-48% from the May 2026 high, down a further ~27% in the trailing month alone. This is the opposite of LITE/MU/MXL's extreme-positive-momentum, single-factor profile.</w:t>
      </w:r>
    </w:p>
    <w:p>
      <w:pPr>
        <w:pStyle w:val="ListParagraph"/>
        <w:numPr>
          <w:ilvl w:val="0"/>
          <w:numId w:val="1"/>
        </w:numPr>
        <w:spacing w:after="60"/>
      </w:pPr>
      <w:r>
        <w:rPr>
          <w:b/>
          <w:bCs/>
          <w:sz w:val="21"/>
          <w:szCs w:val="21"/>
        </w:rPr>
        <w:t xml:space="preserve">Low Beta/Defensive</w:t>
      </w:r>
      <w:r>
        <w:rPr>
          <w:sz w:val="21"/>
          <w:szCs w:val="21"/>
        </w:rPr>
        <w:t xml:space="preserve">: absent — beta 1.37-1.50, a genuinely volatile name, consistent with the scale of its recent drawdown.</w:t>
      </w:r>
    </w:p>
    <w:p>
      <w:pPr>
        <w:spacing w:after="160"/>
      </w:pPr>
      <w:r>
        <w:rPr>
          <w:b/>
          <w:bCs/>
          <w:sz w:val="21"/>
          <w:szCs w:val="21"/>
        </w:rPr>
        <w:t xml:space="preserve">Combined signal</w:t>
      </w:r>
      <w:r>
        <w:rPr>
          <w:sz w:val="21"/>
          <w:szCs w:val="21"/>
        </w:rPr>
        <w:t xml:space="preserve">: a </w:t>
      </w:r>
      <w:r>
        <w:rPr>
          <w:b/>
          <w:bCs/>
          <w:sz w:val="21"/>
          <w:szCs w:val="21"/>
        </w:rPr>
        <w:t xml:space="preserve">value+quality overlap with strongly negative momentum</w:t>
      </w:r>
      <w:r>
        <w:rPr>
          <w:sz w:val="21"/>
          <w:szCs w:val="21"/>
        </w:rPr>
        <w:t xml:space="preserve"> — structurally similar in shape to UBER and TJX from earlier in this session (the more durable historical pattern than a momentum-only bet), though DY's negative momentum is considerably more severe than either of those two.</w:t>
      </w:r>
    </w:p>
    <w:p>
      <w:pPr>
        <w:pStyle w:val="Heading2"/>
        <w:spacing w:after="120" w:before="240"/>
      </w:pPr>
      <w:r>
        <w:t xml:space="preserve">9. Quality Compounder Screen (Framework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bl>
    <w:p>
      <w:pPr>
        <w:spacing w:after="160"/>
      </w:pPr>
    </w:p>
    <w:p>
      <w:pPr>
        <w:spacing w:after="160"/>
      </w:pPr>
      <w:r>
        <w:rPr>
          <w:b/>
          <w:bCs/>
          <w:sz w:val="21"/>
          <w:szCs w:val="21"/>
        </w:rPr>
        <w:t xml:space="preserve">Count</w:t>
      </w:r>
      <w:r>
        <w:rPr>
          <w:sz w:val="21"/>
          <w:szCs w:val="21"/>
        </w:rPr>
        <w:t xml:space="preserve">: 2 clear pass, 2 clear flag, 1 mixed (pass-on-equity/flag-on-debt), 3 not independently computed/unavailable. This does not cleanly clear the 4-6 "QUALITY" bar on fully-scored criteria alone, but several of the unscored items (ROIC, FCF conversion) are data gaps rather than confirmed failures — </w:t>
      </w:r>
      <w:r>
        <w:rPr>
          <w:b/>
          <w:bCs/>
          <w:sz w:val="21"/>
          <w:szCs w:val="21"/>
        </w:rPr>
        <w:t xml:space="preserve">treat the Compounder verdict as QUALITY-leaning but genuinely underdetermined</w:t>
      </w:r>
      <w:r>
        <w:rPr>
          <w:sz w:val="21"/>
          <w:szCs w:val="21"/>
        </w:rPr>
        <w:t xml:space="preserve"> pending fuller data, rather than a confident QUALITY or TRADE ONLY call. Capped in either case by the MoS Gate (BASE, not BEAR) at </w:t>
      </w:r>
      <w:r>
        <w:rPr>
          <w:b/>
          <w:bCs/>
          <w:sz w:val="21"/>
          <w:szCs w:val="21"/>
        </w:rPr>
        <w:t xml:space="preserve">QUALITY at best</w:t>
      </w:r>
      <w:r>
        <w:rPr>
          <w:sz w:val="21"/>
          <w:szCs w:val="21"/>
        </w:rPr>
        <w:t xml:space="preserve">, never COMPOUNDER at the current price.</w:t>
      </w:r>
    </w:p>
    <w:p>
      <w:pPr>
        <w:pStyle w:val="Heading2"/>
        <w:spacing w:after="120" w:before="240"/>
      </w:pPr>
      <w:r>
        <w:t xml:space="preserve">10. Sector Appendix — Industrials (Track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bl>
    <w:p>
      <w:pPr>
        <w:spacing w:after="160"/>
      </w:pPr>
    </w:p>
    <w:p>
      <w:pPr>
        <w:pStyle w:val="Heading2"/>
        <w:spacing w:after="120" w:before="240"/>
      </w:pPr>
      <w:r>
        <w:t xml:space="preserve">11. Five-Year Ratio Trend Analysis</w:t>
      </w:r>
    </w:p>
    <w:p>
      <w:pPr>
        <w:pStyle w:val="Heading3"/>
        <w:spacing w:after="120" w:before="240"/>
      </w:pPr>
      <w:r>
        <w:t xml:space="preserve">Base Ratio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bl>
    <w:p>
      <w:pPr>
        <w:spacing w:after="160"/>
      </w:pPr>
    </w:p>
    <w:p>
      <w:pPr>
        <w:spacing w:after="160"/>
      </w:pPr>
      <w:r>
        <w:rPr>
          <w:i/>
          <w:iCs/>
          <w:sz w:val="20"/>
          <w:szCs w:val="20"/>
        </w:rPr>
        <w:t xml:space="preserve">FY22-24 operating margin, historical share prices, and pre-FY26 debt/equity were not independently confirmed to this report's standard and are left blank rather than imputed — a real data-density gap versus the denser US mega-cap histories built earlier this session (MU, UBER), reflecting DY's smaller size and this pass's search-budget constraints.</w:t>
      </w:r>
    </w:p>
    <w:p>
      <w:pPr>
        <w:pStyle w:val="Heading3"/>
        <w:spacing w:after="120" w:before="240"/>
      </w:pPr>
      <w:r>
        <w:t xml:space="preserve">Sector-Specific Ratio Table (Industrials)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60"/>
              <w:left w:type="dxa" w:w="80"/>
              <w:bottom w:type="dxa" w:w="60"/>
              <w:right w:type="dxa" w:w="80"/>
            </w:tcMar>
          </w:tcPr>
          <w:p>
            <w:r>
              <w:rPr>
                <w:b/>
                <w:bCs/>
                <w:sz w:val="19"/>
                <w:szCs w:val="19"/>
              </w:rPr>
            </w:r>
          </w:p>
        </w:tc>
        <w:tc>
          <w:tcPr>
            <w:tcW w:type="dxa" w:w="4680"/>
            <w:shd w:fill="D9D9D9" w:val="clear"/>
            <w:tcMar>
              <w:top w:type="dxa" w:w="60"/>
              <w:left w:type="dxa" w:w="80"/>
              <w:bottom w:type="dxa" w:w="60"/>
              <w:right w:type="dxa" w:w="80"/>
            </w:tcMar>
          </w:tcPr>
          <w:p>
            <w:r>
              <w:rPr>
                <w:b/>
                <w:bCs/>
                <w:sz w:val="19"/>
                <w:szCs w:val="19"/>
              </w:rPr>
            </w:r>
          </w:p>
        </w:tc>
      </w:tr>
      <w:tr>
        <w:tc>
          <w:tcPr>
            <w:tcW w:type="dxa" w:w="4680"/>
            <w:tcMar>
              <w:top w:type="dxa" w:w="60"/>
              <w:left w:type="dxa" w:w="80"/>
              <w:bottom w:type="dxa" w:w="60"/>
              <w:right w:type="dxa" w:w="80"/>
            </w:tcMar>
          </w:tcPr>
          <w:p>
            <w:r>
              <w:rPr>
                <w:sz w:val="19"/>
                <w:szCs w:val="19"/>
              </w:rPr>
            </w:r>
          </w:p>
        </w:tc>
        <w:tc>
          <w:tcPr>
            <w:tcW w:type="dxa" w:w="4680"/>
            <w:tcMar>
              <w:top w:type="dxa" w:w="60"/>
              <w:left w:type="dxa" w:w="80"/>
              <w:bottom w:type="dxa" w:w="60"/>
              <w:right w:type="dxa" w:w="80"/>
            </w:tcMar>
          </w:tcPr>
          <w:p>
            <w:r>
              <w:rPr>
                <w:sz w:val="19"/>
                <w:szCs w:val="19"/>
              </w:rPr>
            </w:r>
            <w:r>
              <w:rPr>
                <w:sz w:val="19"/>
                <w:szCs w:val="19"/>
              </w:rPr>
            </w:r>
            <w:r>
              <w:rPr>
                <w:sz w:val="19"/>
                <w:szCs w:val="19"/>
              </w:rPr>
            </w:r>
          </w:p>
        </w:tc>
      </w:tr>
      <w:tr>
        <w:tc>
          <w:tcPr>
            <w:tcW w:type="dxa" w:w="4680"/>
            <w:tcMar>
              <w:top w:type="dxa" w:w="60"/>
              <w:left w:type="dxa" w:w="80"/>
              <w:bottom w:type="dxa" w:w="60"/>
              <w:right w:type="dxa" w:w="80"/>
            </w:tcMar>
          </w:tcPr>
          <w:p>
            <w:r>
              <w:rPr>
                <w:sz w:val="19"/>
                <w:szCs w:val="19"/>
              </w:rPr>
            </w:r>
          </w:p>
        </w:tc>
        <w:tc>
          <w:tcPr>
            <w:tcW w:type="dxa" w:w="4680"/>
            <w:tcMar>
              <w:top w:type="dxa" w:w="60"/>
              <w:left w:type="dxa" w:w="80"/>
              <w:bottom w:type="dxa" w:w="60"/>
              <w:right w:type="dxa" w:w="80"/>
            </w:tcMar>
          </w:tcPr>
          <w:p>
            <w:r>
              <w:rPr>
                <w:sz w:val="19"/>
                <w:szCs w:val="19"/>
              </w:rPr>
            </w:r>
          </w:p>
        </w:tc>
      </w:tr>
      <w:tr>
        <w:tc>
          <w:tcPr>
            <w:tcW w:type="dxa" w:w="4680"/>
            <w:tcMar>
              <w:top w:type="dxa" w:w="60"/>
              <w:left w:type="dxa" w:w="80"/>
              <w:bottom w:type="dxa" w:w="60"/>
              <w:right w:type="dxa" w:w="80"/>
            </w:tcMar>
          </w:tcPr>
          <w:p>
            <w:r>
              <w:rPr>
                <w:sz w:val="19"/>
                <w:szCs w:val="19"/>
              </w:rPr>
            </w:r>
          </w:p>
        </w:tc>
        <w:tc>
          <w:tcPr>
            <w:tcW w:type="dxa" w:w="4680"/>
            <w:tcMar>
              <w:top w:type="dxa" w:w="60"/>
              <w:left w:type="dxa" w:w="80"/>
              <w:bottom w:type="dxa" w:w="60"/>
              <w:right w:type="dxa" w:w="80"/>
            </w:tcMar>
          </w:tcPr>
          <w:p>
            <w:r>
              <w:rPr>
                <w:sz w:val="19"/>
                <w:szCs w:val="19"/>
              </w:rPr>
            </w:r>
          </w:p>
        </w:tc>
      </w:tr>
      <w:tr>
        <w:tc>
          <w:tcPr>
            <w:tcW w:type="dxa" w:w="4680"/>
            <w:tcMar>
              <w:top w:type="dxa" w:w="60"/>
              <w:left w:type="dxa" w:w="80"/>
              <w:bottom w:type="dxa" w:w="60"/>
              <w:right w:type="dxa" w:w="80"/>
            </w:tcMar>
          </w:tcPr>
          <w:p>
            <w:r>
              <w:rPr>
                <w:sz w:val="19"/>
                <w:szCs w:val="19"/>
              </w:rPr>
            </w:r>
          </w:p>
        </w:tc>
        <w:tc>
          <w:tcPr>
            <w:tcW w:type="dxa" w:w="4680"/>
            <w:tcMar>
              <w:top w:type="dxa" w:w="60"/>
              <w:left w:type="dxa" w:w="80"/>
              <w:bottom w:type="dxa" w:w="60"/>
              <w:right w:type="dxa" w:w="80"/>
            </w:tcMar>
          </w:tcPr>
          <w:p>
            <w:r>
              <w:rPr>
                <w:sz w:val="19"/>
                <w:szCs w:val="19"/>
              </w:rPr>
            </w:r>
            <w:r>
              <w:rPr>
                <w:sz w:val="19"/>
                <w:szCs w:val="19"/>
              </w:rPr>
            </w:r>
            <w:r>
              <w:rPr>
                <w:sz w:val="19"/>
                <w:szCs w:val="19"/>
              </w:rPr>
            </w:r>
          </w:p>
        </w:tc>
      </w:tr>
    </w:tbl>
    <w:p>
      <w:pPr>
        <w:spacing w:after="160"/>
      </w:pPr>
    </w:p>
    <w:p>
      <w:pPr>
        <w:pStyle w:val="Heading3"/>
        <w:spacing w:after="120" w:before="240"/>
      </w:pPr>
      <w:r>
        <w:t xml:space="preserve">Interpretation</w:t>
      </w:r>
    </w:p>
    <w:p>
      <w:pPr>
        <w:spacing w:after="160"/>
      </w:pPr>
      <w:r>
        <w:rPr>
          <w:sz w:val="21"/>
          <w:szCs w:val="21"/>
        </w:rPr>
        <w:t xml:space="preserve">The </w:t>
      </w:r>
      <w:r>
        <w:rPr>
          <w:b/>
          <w:bCs/>
          <w:sz w:val="21"/>
          <w:szCs w:val="21"/>
        </w:rPr>
        <w:t xml:space="preserve">backlog trend (+53.2% YoY to $12.2B, with &gt;$1B explicitly AI-datacenter-tied) is the strongest evidence for the bull case</w:t>
      </w:r>
      <w:r>
        <w:rPr>
          <w:sz w:val="21"/>
          <w:szCs w:val="21"/>
        </w:rPr>
        <w:t xml:space="preserve"> — genuine, disclosed, quantified forward demand, not narrative. Set directly against it, the </w:t>
      </w:r>
      <w:r>
        <w:rPr>
          <w:b/>
          <w:bCs/>
          <w:sz w:val="21"/>
          <w:szCs w:val="21"/>
        </w:rPr>
        <w:t xml:space="preserve">debt/equity trend (+94.4% YoY to 1.58x) is the strongest evidence for caution</w:t>
      </w:r>
      <w:r>
        <w:rPr>
          <w:sz w:val="21"/>
          <w:szCs w:val="21"/>
        </w:rPr>
        <w:t xml:space="preserve"> — the AI-datacenter opportunity was substantially bought via large, fast, debt-funded M&amp;A rather than organically built, which is exactly the tension Section 6's Mauboussin read and Section 9's Compounder screen both flag: a real opportunity, acquired quickly, now needs successful integration and continued execution to justify the leverage taken on to capture it. The margin-expansion trend (Section 4) sits in between — genuinely positive over five years, but its deceleration in the most recent quarter (81bps vs. faster historical periods) is the specific data point that would most confirm or deny whether the Base-case DCF's continued-expansion assumption is holding.</w:t>
      </w:r>
    </w:p>
    <w:p>
      <w:pPr>
        <w:pStyle w:val="Heading2"/>
        <w:spacing w:after="120" w:before="240"/>
      </w:pPr>
      <w:r>
        <w:t xml:space="preserve">12. Final Verdict</w:t>
      </w:r>
    </w:p>
    <w:p>
      <w:pPr>
        <w:spacing w:after="0"/>
      </w:pPr>
      <w:r>
        <w:rPr>
          <w:rFonts w:ascii="Consolas" w:cs="Consolas" w:eastAsia="Consolas" w:hAnsi="Consolas"/>
          <w:sz w:val="17"/>
          <w:szCs w:val="17"/>
        </w:rPr>
        <w:t xml:space="preserve">DY | A-ID | FastGrower (with Cyclical/M&amp;A caveats) | DCF Bear-Base-Bull: $196.67 / $408.09 / $782.03</w:t>
      </w:r>
    </w:p>
    <w:p>
      <w:pPr>
        <w:spacing w:after="0"/>
      </w:pPr>
      <w:r>
        <w:rPr>
          <w:rFonts w:ascii="Consolas" w:cs="Consolas" w:eastAsia="Consolas" w:hAnsi="Consolas"/>
          <w:sz w:val="17"/>
          <w:szCs w:val="17"/>
        </w:rPr>
        <w:t xml:space="preserve">MoS Gate: BASE (price between Bear and Base)</w:t>
      </w:r>
    </w:p>
    <w:p>
      <w:pPr>
        <w:spacing w:after="0"/>
      </w:pPr>
      <w:r>
        <w:rPr>
          <w:rFonts w:ascii="Consolas" w:cs="Consolas" w:eastAsia="Consolas" w:hAnsi="Consolas"/>
          <w:sz w:val="17"/>
          <w:szCs w:val="17"/>
        </w:rPr>
        <w:t xml:space="preserve">Compounder: QUALITY-leaning, genuinely underdetermined on several unscored criteria</w:t>
      </w:r>
    </w:p>
    <w:p>
      <w:pPr>
        <w:spacing w:after="0"/>
      </w:pPr>
      <w:r>
        <w:rPr>
          <w:rFonts w:ascii="Consolas" w:cs="Consolas" w:eastAsia="Consolas" w:hAnsi="Consolas"/>
          <w:sz w:val="17"/>
          <w:szCs w:val="17"/>
        </w:rPr>
        <w:t xml:space="preserve">AI Impact: TAILWIND (confirmed, quantified: &gt;$1B of current backlog specifically</w:t>
      </w:r>
    </w:p>
    <w:p>
      <w:pPr>
        <w:spacing w:after="0"/>
      </w:pPr>
      <w:r>
        <w:rPr>
          <w:rFonts w:ascii="Consolas" w:cs="Consolas" w:eastAsia="Consolas" w:hAnsi="Consolas"/>
          <w:sz w:val="17"/>
          <w:szCs w:val="17"/>
        </w:rPr>
        <w:t xml:space="preserve">tied to AI-datacenter fiber interconnect — material and growing, not just narrative)</w:t>
      </w:r>
    </w:p>
    <w:p>
      <w:pPr>
        <w:spacing w:after="0"/>
      </w:pPr>
      <w:r>
        <w:rPr>
          <w:rFonts w:ascii="Consolas" w:cs="Consolas" w:eastAsia="Consolas" w:hAnsi="Consolas"/>
          <w:sz w:val="17"/>
          <w:szCs w:val="17"/>
        </w:rPr>
        <w:t xml:space="preserve">Horizon: 3-5yr (QUALITY tier, conditional on the Base-case assumptions holding)</w:t>
      </w:r>
    </w:p>
    <w:p>
      <w:pPr>
        <w:spacing w:after="0"/>
      </w:pPr>
      <w:r>
        <w:rPr>
          <w:rFonts w:ascii="Consolas" w:cs="Consolas" w:eastAsia="Consolas" w:hAnsi="Consolas"/>
          <w:sz w:val="17"/>
          <w:szCs w:val="17"/>
        </w:rPr>
        <w:t xml:space="preserve">Thesis Invalidation: organic growth decelerates toward the historical</w:t>
      </w:r>
    </w:p>
    <w:p>
      <w:pPr>
        <w:spacing w:after="0"/>
      </w:pPr>
      <w:r>
        <w:rPr>
          <w:rFonts w:ascii="Consolas" w:cs="Consolas" w:eastAsia="Consolas" w:hAnsi="Consolas"/>
          <w:sz w:val="17"/>
          <w:szCs w:val="17"/>
        </w:rPr>
        <w:t xml:space="preserve">telecom-capex-cycle norm (FY22's near-flat year is the base-rate warning),</w:t>
      </w:r>
    </w:p>
    <w:p>
      <w:pPr>
        <w:spacing w:after="0"/>
      </w:pPr>
      <w:r>
        <w:rPr>
          <w:rFonts w:ascii="Consolas" w:cs="Consolas" w:eastAsia="Consolas" w:hAnsi="Consolas"/>
          <w:sz w:val="17"/>
          <w:szCs w:val="17"/>
        </w:rPr>
        <w:t xml:space="preserve">OR adjusted EBITDA margin expansion stalls or reverses for 2+ consecutive</w:t>
      </w:r>
    </w:p>
    <w:p>
      <w:pPr>
        <w:spacing w:after="0"/>
      </w:pPr>
      <w:r>
        <w:rPr>
          <w:rFonts w:ascii="Consolas" w:cs="Consolas" w:eastAsia="Consolas" w:hAnsi="Consolas"/>
          <w:sz w:val="17"/>
          <w:szCs w:val="17"/>
        </w:rPr>
        <w:t xml:space="preserve">quarters, OR the Power Solutions/NTI integration shows signs of trouble</w:t>
      </w:r>
    </w:p>
    <w:p>
      <w:pPr>
        <w:spacing w:after="0"/>
      </w:pPr>
      <w:r>
        <w:rPr>
          <w:rFonts w:ascii="Consolas" w:cs="Consolas" w:eastAsia="Consolas" w:hAnsi="Consolas"/>
          <w:sz w:val="17"/>
          <w:szCs w:val="17"/>
        </w:rPr>
        <w:t xml:space="preserve">(cost overruns, customer losses) given the leverage taken on to fund them</w:t>
      </w:r>
    </w:p>
    <w:p>
      <w:pPr>
        <w:spacing w:after="120"/>
      </w:pPr>
    </w:p>
    <w:p>
      <w:pPr>
        <w:spacing w:after="160"/>
      </w:pPr>
      <w:r>
        <w:rPr>
          <w:sz w:val="21"/>
          <w:szCs w:val="21"/>
        </w:rPr>
        <w:t xml:space="preserve">Dycom is a genuinely different case from this session's semiconductor/optics names: a real, disclosed, quantified AI-infrastructure demand stream (the &gt;$1B AI-datacenter fiber backlog) bolted onto an established, if historically cyclical and customer-concentrated, telecom-construction business — and after a ~45-48% drawdown, the price now sits in the more reasonable BASE-gate zone rather than above even an optimistic scenario. What holds this back from a clean QUALITY license is not valuation stretch (as with LITE/MU) but </w:t>
      </w:r>
      <w:r>
        <w:rPr>
          <w:b/>
          <w:bCs/>
          <w:sz w:val="21"/>
          <w:szCs w:val="21"/>
        </w:rPr>
        <w:t xml:space="preserve">execution and leverage risk</w:t>
      </w:r>
      <w:r>
        <w:rPr>
          <w:sz w:val="21"/>
          <w:szCs w:val="21"/>
        </w:rPr>
        <w:t xml:space="preserve">: two large, fast, debt-funded acquisitions that have nearly doubled Debt/Equity in a year, a recent quarter where margin expansion visibly decelerated, and a customer base still concentrated in three large telecom carriers. The single most important near-term data point: whether Q3/Q4 FY2027 results show the AI-datacenter-driven backlog converting to revenue and margin at the pace the Base case requires, or whether the Sept 2026 stock decline is correctly reading a slower, more normal integration path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2026-09-22T17:40:44.185Z</dcterms:created>
  <dcterms:modified xsi:type="dcterms:W3CDTF">2026-09-22T17:40:44.189Z</dcterms:modified>
</cp:coreProperties>
</file>

<file path=docProps/custom.xml><?xml version="1.0" encoding="utf-8"?>
<Properties xmlns="http://schemas.openxmlformats.org/officeDocument/2006/custom-properties" xmlns:vt="http://schemas.openxmlformats.org/officeDocument/2006/docPropsVTypes"/>
</file>