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FN — Fabrinet — Long-Term Deep-Dive</w:t>
      </w:r>
    </w:p>
    <w:p>
      <w:pPr>
        <w:spacing w:after="100"/>
      </w:pPr>
      <w:r>
        <w:rPr>
          <w:b/>
          <w:bCs/>
        </w:rPr>
        <w:t xml:space="preserve">Date: 2026-09-22 | Price: $397.13 (Sept 22, 2026, 1:28pm ET) | Shares out: 35.83M | Market cap: $14.23B | 52wk range: $354.41–$748.89 (price is -47% off the May 2026 ATH)</w:t>
      </w:r>
    </w:p>
    <w:p/>
    <w:p>
      <w:pPr>
        <w:spacing w:after="100"/>
      </w:pPr>
      <w:r>
        <w:rPr>
          <w:b/>
          <w:bCs/>
        </w:rPr>
        <w:t xml:space="preserve">Bottom line up front: WATCH (structural QUALITY, 4/9 Compounder criteria), MoS Gate NONE — but a materially closer call than LITE or MU.</w:t>
      </w:r>
      <w:r>
        <w:t xml:space="preserve"> Price sits only ~10% above this workup's own Bull-case DCF value ($361), not several multiples above it. The business itself is genuinely different in kind from LITE/MXL: Fabrinet is a contract manufacturer, not a fabless IP owner, which structurally caps its margins and explains most of what follows.</w:t>
      </w:r>
    </w:p>
    <w:p/>
    <w:p/>
    <w:p>
      <w:pPr>
        <w:pStyle w:val="Heading1"/>
        <w:spacing w:after="120" w:before="240"/>
      </w:pPr>
      <w:r>
        <w:t xml:space="preserve">0. Recent Context</w:t>
      </w:r>
    </w:p>
    <w:p/>
    <w:p>
      <w:pPr>
        <w:spacing w:after="100"/>
      </w:pPr>
      <w:r>
        <w:rPr>
          <w:b/>
          <w:bCs/>
        </w:rPr>
        <w:t xml:space="preserve">Last reported quarter — Q4 FY2026 (ended ~June 2026), reported Aug 2026:</w:t>
      </w:r>
    </w:p>
    <w:p>
      <w:pPr>
        <w:pStyle w:val="ListParagraph"/>
        <w:numPr>
          <w:ilvl w:val="0"/>
          <w:numId w:val="1"/>
        </w:numPr>
      </w:pPr>
      <w:r>
        <w:t xml:space="preserve">Revenue </w:t>
      </w:r>
      <w:r>
        <w:rPr>
          <w:b/>
          <w:bCs/>
        </w:rPr>
        <w:t xml:space="preserve">$1.316B, +45% YoY</w:t>
      </w:r>
      <w:r>
        <w:t xml:space="preserve">, a record. Non-GAAP EPS $4.10, above guidance.</w:t>
      </w:r>
    </w:p>
    <w:p>
      <w:pPr>
        <w:pStyle w:val="ListParagraph"/>
        <w:numPr>
          <w:ilvl w:val="0"/>
          <w:numId w:val="1"/>
        </w:numPr>
      </w:pPr>
      <w:r>
        <w:t xml:space="preserve">Full FY2026: revenue </w:t>
      </w:r>
      <w:r>
        <w:rPr>
          <w:b/>
          <w:bCs/>
        </w:rPr>
        <w:t xml:space="preserve">$4.6B, +36% YoY</w:t>
      </w:r>
      <w:r>
        <w:t xml:space="preserve">; non-GAAP EPS </w:t>
      </w:r>
      <w:r>
        <w:rPr>
          <w:b/>
          <w:bCs/>
        </w:rPr>
        <w:t xml:space="preserve">$14.09, +39% YoY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Non-GAAP gross margin </w:t>
      </w:r>
      <w:r>
        <w:rPr>
          <w:b/>
          <w:bCs/>
        </w:rPr>
        <w:t xml:space="preserve">12.2%</w:t>
      </w:r>
      <w:r>
        <w:t xml:space="preserve">, +10bps QoQ but -30bps YoY. Opex only 1.3% of revenue. Non-GAAP operating margin </w:t>
      </w:r>
      <w:r>
        <w:rPr>
          <w:b/>
          <w:bCs/>
        </w:rPr>
        <w:t xml:space="preserve">10.9% — the highest in three years</w:t>
      </w:r>
      <w:r>
        <w:t xml:space="preserve">, but off a structurally thin base.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 Center revenue $669M, +68% YoY, +13% QoQ — 51% of total revenue, over half the company for the first time.</w:t>
      </w:r>
    </w:p>
    <w:p>
      <w:pPr>
        <w:pStyle w:val="ListParagraph"/>
        <w:numPr>
          <w:ilvl w:val="0"/>
          <w:numId w:val="1"/>
        </w:numPr>
      </w:pPr>
      <w:r>
        <w:t xml:space="preserve">Cash &amp; short-term investments: $876M.</w:t>
      </w:r>
    </w:p>
    <w:p/>
    <w:p>
      <w:pPr>
        <w:spacing w:after="100"/>
      </w:pPr>
      <w:r>
        <w:rPr>
          <w:b/>
          <w:bCs/>
        </w:rPr>
        <w:t xml:space="preserve">Q1 FY2027 guidance</w:t>
      </w:r>
      <w:r>
        <w:t xml:space="preserve">: revenue $1.375–1.425B (+43% YoY at midpoint); non-GAAP EPS $4.10–4.25.</w:t>
      </w:r>
    </w:p>
    <w:p/>
    <w:p>
      <w:pPr>
        <w:spacing w:after="100"/>
      </w:pPr>
      <w:r>
        <w:rPr>
          <w:b/>
          <w:bCs/>
        </w:rPr>
        <w:t xml:space="preserve">Stock reaction — the key tension</w:t>
      </w:r>
      <w:r>
        <w:t xml:space="preserve">: despite the beat-and-raise, shares fell; trailing-30-day return was </w:t>
      </w:r>
      <w:r>
        <w:rPr>
          <w:b/>
          <w:bCs/>
        </w:rPr>
        <w:t xml:space="preserve">-23.6%</w:t>
      </w:r>
      <w:r>
        <w:t xml:space="preserve"> as of this research pass, and the stock sits 47% below its May 2026 all-time high ($748.89). Coverage attributes this to disappointment on margins/FCF trajectory relative to the revenue beat, compounded by the broader </w:t>
      </w:r>
      <w:r>
        <w:rPr>
          <w:b/>
          <w:bCs/>
        </w:rPr>
        <w:t xml:space="preserve">Sept 14, 2026 AI/semiconductor selloff</w:t>
      </w:r>
      <w:r>
        <w:t xml:space="preserve"> — the same event today's macro report independently flags as triggering a Kindleberger Stage-4 bubble-risk classification for semiconductors generally.</w:t>
      </w:r>
    </w:p>
    <w:p/>
    <w:p>
      <w:pPr>
        <w:spacing w:after="100"/>
      </w:pPr>
      <w:r>
        <w:rPr>
          <w:b/>
          <w:bCs/>
        </w:rPr>
        <w:t xml:space="preserve">Customer concentration (FY2026, material and shifting)</w:t>
      </w:r>
      <w:r>
        <w:t xml:space="preserve">: four customers ≥10% of revenue — </w:t>
      </w:r>
      <w:r>
        <w:rPr>
          <w:b/>
          <w:bCs/>
        </w:rPr>
        <w:t xml:space="preserve">Cisco 20%, NVIDIA 16%, Nokia 11%, Amazon 11%</w:t>
      </w:r>
      <w:r>
        <w:t xml:space="preserve"> (58% combined from the top four). Notable shift from FY2025 (NVIDIA 27.6%, Cisco 18.2%) — NVIDIA's share fell even as total revenue grew sharply, i.e., genuine diversification, not just NVIDIA slowing; Nokia joined the ≥10% club for the first time following its Infineon/Infinera-related integration.</w:t>
      </w:r>
    </w:p>
    <w:p/>
    <w:p>
      <w:pPr>
        <w:spacing w:after="100"/>
      </w:pPr>
      <w:r>
        <w:rPr>
          <w:b/>
          <w:bCs/>
        </w:rPr>
        <w:t xml:space="preserve">Capacity expansion (the dominant forward-looking story)</w:t>
      </w:r>
      <w:r>
        <w:t xml:space="preserve">: management has laid out a path to </w:t>
      </w:r>
      <w:r>
        <w:rPr>
          <w:b/>
          <w:bCs/>
        </w:rPr>
        <w:t xml:space="preserve">$12.5–14B of total capacity — roughly 3x FY26's revenue run-rate</w:t>
      </w:r>
      <w:r>
        <w:t xml:space="preserve"> — via named, dated projects: Building 10 in Chonburi, Thailand (+$3–3.5B capacity, on track for early 2027, ~$132–133M cost for a 2M sq ft factory), Pinehurst office-to-manufacturing conversion, the Nava Nakorn facility acquisition, and a new Santa Clara campus. This is unusually concrete forward capacity guidance for this kind of company.</w:t>
      </w:r>
    </w:p>
    <w:p/>
    <w:p>
      <w:pPr>
        <w:spacing w:after="100"/>
      </w:pPr>
      <w:r>
        <w:rPr>
          <w:b/>
          <w:bCs/>
        </w:rPr>
        <w:t xml:space="preserve">Insider activity</w:t>
      </w:r>
      <w:r>
        <w:t xml:space="preserve">: routine — RSU grants to CEO Seamus Grady, COO Harpal Gill, CFO Csaba Sverha, and EVP Edward Archer (Aug 2026, standard 3-year vesting), a small open-market sale by Archer (~2,500 shares, immaterial), and routine tax-withholding dispositions at vesting. </w:t>
      </w:r>
      <w:r>
        <w:rPr>
          <w:b/>
          <w:bCs/>
        </w:rPr>
        <w:t xml:space="preserve">No concentrated, discretionary insider-selling pattern</w:t>
      </w:r>
      <w:r>
        <w:t xml:space="preserve"> — a cleaner picture than LITE, MU, or MXL showed.</w:t>
      </w:r>
    </w:p>
    <w:p/>
    <w:p>
      <w:pPr>
        <w:spacing w:after="100"/>
      </w:pPr>
      <w:r>
        <w:rPr>
          <w:b/>
          <w:bCs/>
        </w:rPr>
        <w:t xml:space="preserve">Analyst targets — a genuine staleness flag</w:t>
      </w:r>
      <w:r>
        <w:t xml:space="preserve">: several individual price-target actions found (JPMorgan $700, Apr 16; Rosenblatt $750, May 5; Barclays $702, May 6) all predate the ~47% subsequent decline from the May ATH and have not been found re-confirmed since. Treat any consensus average built from these as </w:t>
      </w:r>
      <w:r>
        <w:rPr>
          <w:b/>
          <w:bCs/>
        </w:rPr>
        <w:t xml:space="preserve">stale relative to the current price</w:t>
      </w:r>
      <w:r>
        <w:t xml:space="preserve">, not a live read.</w:t>
      </w:r>
    </w:p>
    <w:p/>
    <w:p/>
    <w:p>
      <w:pPr>
        <w:pStyle w:val="Heading1"/>
        <w:spacing w:after="120" w:before="240"/>
      </w:pPr>
      <w:r>
        <w:t xml:space="preserve">1. Business Overview</w:t>
      </w:r>
    </w:p>
    <w:p/>
    <w:p>
      <w:pPr>
        <w:spacing w:after="100"/>
      </w:pPr>
      <w:r>
        <w:rPr>
          <w:b/>
          <w:bCs/>
        </w:rPr>
        <w:t xml:space="preserve">Business model — the single most important classification fact</w:t>
      </w:r>
      <w:r>
        <w:t xml:space="preserve">: Fabrinet is a </w:t>
      </w:r>
      <w:r>
        <w:rPr>
          <w:b/>
          <w:bCs/>
        </w:rPr>
        <w:t xml:space="preserve">contract manufacturer</w:t>
      </w:r>
      <w:r>
        <w:t xml:space="preserve"> (an EMS-like model), not a fabless designer. It does not own the IP of the optical transceivers, laser subsystems, or other precision products it builds — customers (Cisco, NVIDIA, Nokia, Amazon, and others) design the products; Fabrinet manufactures them to spec, at extreme precision, in Thailand-based (plus newer US) facilities. This is a structurally different economic model from a company like Lumentum (LITE, covered earlier this session) or MaxLinear (MXL) — those are fabless/IP-owning designers with theoretically much higher margin ceilings; Fabrinet's economics are closer to cost-plus manufacturing.</w:t>
      </w:r>
    </w:p>
    <w:p/>
    <w:p>
      <w:pPr>
        <w:spacing w:after="100"/>
      </w:pPr>
      <w:r>
        <w:rPr>
          <w:b/>
          <w:bCs/>
        </w:rPr>
        <w:t xml:space="preserve">Relationship to LITE, clarified</w:t>
      </w:r>
      <w:r>
        <w:t xml:space="preserve"> (flagged for verification per the research directive): LITE's own Deep-Dive listed Fabrinet as a "competitor." That is imprecise — Fabrinet does not compete with Lumentum on product design or IP; it competes with other contract manufacturers (and potentially with customers' in-house manufacturing) for </w:t>
      </w:r>
      <w:r>
        <w:rPr>
          <w:b/>
          <w:bCs/>
        </w:rPr>
        <w:t xml:space="preserve">outsourced manufacturing dollars</w:t>
      </w:r>
      <w:r>
        <w:t xml:space="preserve">. It is more accurate to describe Fabrinet as a manufacturing-services provider to the broader optical/photonics industry — some of whose customers may compete with Lumentum on the design side — than as a head-to-head Lumentum competitor.</w:t>
      </w:r>
    </w:p>
    <w:p/>
    <w:p>
      <w:pPr>
        <w:spacing w:after="100"/>
      </w:pPr>
      <w:r>
        <w:rPr>
          <w:b/>
          <w:bCs/>
        </w:rPr>
        <w:t xml:space="preserve">Segments (Q3 FY2026, most granular disclosure found)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Segment</w:t>
            </w:r>
          </w:p>
        </w:tc>
        <w:tc>
          <w:tcPr>
            <w:tcW w:type="dxa" w:w="312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Q3 FY26 revenue</w:t>
            </w:r>
          </w:p>
        </w:tc>
        <w:tc>
          <w:tcPr>
            <w:tcW w:type="dxa" w:w="312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Optical Communications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$888.7M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73%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of which Telecom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$628.3M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of which Datacom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$260.4M (incl. DCI $196.9M, up from $71.5M)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Non-Optical Communications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$325.6M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27%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Automotive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$115.5M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High-Performance Computing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$106.7M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Other (incl. medical diagnostics)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$59.2M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 Industrial Lasers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$44.2M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/>
    <w:p/>
    <w:p>
      <w:pPr>
        <w:spacing w:after="100"/>
      </w:pPr>
      <w:r>
        <w:t xml:space="preserve">By Q4 FY26, Data Center revenue alone reached 51% of total revenue ($669M) — the clearest recent trend is optical/datacom/AI-infrastructure work displacing the historically larger telecom and diversified-industrial mix.</w:t>
      </w:r>
    </w:p>
    <w:p/>
    <w:p>
      <w:pPr>
        <w:spacing w:after="100"/>
      </w:pPr>
      <w:r>
        <w:rPr>
          <w:b/>
          <w:bCs/>
        </w:rPr>
        <w:t xml:space="preserve">Principal markets</w:t>
      </w:r>
      <w:r>
        <w:t xml:space="preserve">: customer base is hyperscalers, networking-equipment OEMs, and automotive/industrial/medical device makers; manufacturing base is concentrated in Thailand with newer US capacity coming online. </w:t>
      </w:r>
      <w:r>
        <w:rPr>
          <w:b/>
          <w:bCs/>
        </w:rPr>
        <w:t xml:space="preserve">TAM</w:t>
      </w:r>
      <w:r>
        <w:t xml:space="preserve">: no independent third-party contract-manufacturing TAM figure was sourced this pass; the more decision-relevant, company-disclosed figure is the </w:t>
      </w:r>
      <w:r>
        <w:rPr>
          <w:b/>
          <w:bCs/>
        </w:rPr>
        <w:t xml:space="preserve">$12.5–14B total capacity target</w:t>
      </w:r>
      <w:r>
        <w:t xml:space="preserve"> (Section 0) against a </w:t>
      </w:r>
      <w:r>
        <w:rPr>
          <w:b/>
          <w:bCs/>
        </w:rPr>
        <w:t xml:space="preserve">$5.3B FY26 exit run-rate</w:t>
      </w:r>
      <w:r>
        <w:t xml:space="preserve"> — implying the company itself is underwriting roughly a tripling of its addressable scale over the coming years via named capital projects, not a market-share assumption.</w:t>
      </w:r>
    </w:p>
    <w:p/>
    <w:p/>
    <w:p>
      <w:pPr>
        <w:pStyle w:val="Heading1"/>
        <w:spacing w:after="120" w:before="240"/>
      </w:pPr>
      <w:r>
        <w:t xml:space="preserve">2. Routing</w:t>
      </w:r>
    </w:p>
    <w:p/>
    <w:p>
      <w:pPr>
        <w:spacing w:after="100"/>
      </w:pPr>
      <w:r>
        <w:rPr>
          <w:b/>
          <w:bCs/>
        </w:rPr>
        <w:t xml:space="preserve">Track B–SM (Semiconductors &amp; AI infrastructure), with an explicit caveat: Fabrinet is read through this lens because its customer base and end-markets are AI/optical-infrastructure-driven, not because it is a semiconductor designer itself.</w:t>
      </w:r>
      <w:r>
        <w:t xml:space="preserve"> Its moat, if any, is operational — deep manufacturing qualification with customers (switching costs: once a customer qualifies a manufacturing line for a precision optical product, re-qualifying elsewhere is slow and costly), plus scale/capacity that few contract manufacturers can match at this precision level — rather than IP-based. This is explicitly NOT the same moat type as LITE's or MXL's (cost-advantage-via-chip-share) or a fabless company's (design IP) — it sits lower in the moat hierarchy (type 2/3: switching costs plus cost-advantage-via-scale) but is real.</w:t>
      </w:r>
    </w:p>
    <w:p/>
    <w:p/>
    <w:p>
      <w:pPr>
        <w:pStyle w:val="Heading1"/>
        <w:spacing w:after="120" w:before="240"/>
      </w:pPr>
      <w:r>
        <w:t xml:space="preserve">3. Categorization (Lynch)</w:t>
      </w:r>
    </w:p>
    <w:p/>
    <w:p>
      <w:pPr>
        <w:spacing w:after="100"/>
      </w:pPr>
      <w:r>
        <w:rPr>
          <w:b/>
          <w:bCs/>
        </w:rPr>
        <w:t xml:space="preserve">Fast Grower</w:t>
      </w:r>
      <w:r>
        <w:t xml:space="preserve"> — FY26 revenue +35.73% YoY, Q1 FY27 guided +43% YoY, both comfortably above Lynch's 20-25%+ threshold, and PEG (0.85) is genuinely attractive on Lynch's own primary tool (below the 1.0 "fair to attractive" line) — a meaningfully different valuation signal than LITE showed (LITE's ~107x non-GAAP P/E had no PEG-based support at all). Not read as Cyclical despite real revenue-cycle sensitivity risk (customer-concentration, AI-capex-cycle exposure), because the growth to date has been consistent and broadening (four customers now ≥10%, versus concentrated in one or two previously), not boom-bust like MXL's history.</w:t>
      </w:r>
    </w:p>
    <w:p/>
    <w:p/>
    <w:p>
      <w:pPr>
        <w:pStyle w:val="Heading1"/>
        <w:spacing w:after="120" w:before="240"/>
      </w:pPr>
      <w:r>
        <w:t xml:space="preserve">4. Earnings Quality (Penman)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Margin trend — the central finding of this whole report</w:t>
      </w:r>
      <w:r>
        <w:t xml:space="preserve">: gross margin has been remarkably stable but structurally thin across 5 fiscal years: 12.31% (FY22) → 12.71% (FY23) → 12.35% (FY24) → 12.09% (FY25) → </w:t>
      </w:r>
      <w:r>
        <w:rPr>
          <w:b/>
          <w:bCs/>
        </w:rPr>
        <w:t xml:space="preserve">11.99% (FY26)</w:t>
      </w:r>
      <w:r>
        <w:t xml:space="preserve"> — essentially flat-to-slightly-declining *despite* revenue more than doubling ($2.26B→$4.64B) and despite the mix shift toward higher-value AI/datacenter work. This is the opposite pattern from LITE (where margin expanded sharply with AI mix) — direct evidence that Fabrinet's contract-manufacturing economics don't capture much operating leverage or pricing power as volume scales; customers largely retain the value of scale, consistent with a cost-plus manufacturing model.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RNOA vs. leverage</w:t>
      </w:r>
      <w:r>
        <w:t xml:space="preserve">: total debt is negligible ($4.01M FY26 vs. $2,454M equity) — essentially debt-free. ROE is therefore an operating-performance signal, not a leverage-amplified one. FY26 net margin 10.19% on $4,641M revenue → net income ≈$473M; ROE ≈$473M/$2,454M ≈ </w:t>
      </w:r>
      <w:r>
        <w:rPr>
          <w:b/>
          <w:bCs/>
        </w:rPr>
        <w:t xml:space="preserve">19.3%</w:t>
      </w:r>
      <w:r>
        <w:t xml:space="preserve">, a genuinely operating-driven figure.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Dilution</w:t>
      </w:r>
      <w:r>
        <w:t xml:space="preserve">: shares outstanding relatively stable (~35.83M currently); no major dilutive financing found — self-funded growth, consistent with the strong, growing cash balance.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Accrual ratio</w:t>
      </w:r>
      <w:r>
        <w:t xml:space="preserve">: not independently computed (total-assets figure not retrieved this pass) — flagged unavailable rather than estimated.</w:t>
      </w:r>
    </w:p>
    <w:p/>
    <w:p/>
    <w:p>
      <w:pPr>
        <w:pStyle w:val="Heading1"/>
        <w:spacing w:after="120" w:before="240"/>
      </w:pPr>
      <w:r>
        <w:t xml:space="preserve">5. Valuation — DCF (Koller)</w:t>
      </w:r>
    </w:p>
    <w:p/>
    <w:p>
      <w:pPr>
        <w:spacing w:after="100"/>
      </w:pPr>
      <w:r>
        <w:rPr>
          <w:b/>
          <w:bCs/>
        </w:rPr>
        <w:t xml:space="preserve">WACC construction: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</w:t>
            </w:r>
          </w:p>
        </w:tc>
        <w:tc>
          <w:tcPr>
            <w:tcW w:type="dxa" w:w="312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Risk-free rate (10Y UST)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4.95%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Today's macro pipeline read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ERP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4.5%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Damodaran implied, US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Beta (5yr)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1.21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Sourced — moderate, near-market, meaningfully lower than LITE (1.45)/MU (2.0)/MXL (2.5)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 of equity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4.95% + 1.21×4.5% ≈ </w:t>
            </w:r>
            <w:r>
              <w:rPr>
                <w:b/>
                <w:bCs/>
                <w:sz w:val="18"/>
                <w:szCs w:val="18"/>
              </w:rPr>
              <w:t xml:space="preserve">10.4%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CAPM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Negligible ($4.01M vs. $14.23B market cap)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D/V ≈ 0%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  <w:sz w:val="18"/>
                <w:szCs w:val="18"/>
              </w:rPr>
              <w:t xml:space="preserve">WACC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18"/>
                <w:szCs w:val="18"/>
              </w:rPr>
              <w:t xml:space="preserve">≈10.4%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Equity-only, given negligible debt</w:t>
            </w:r>
          </w:p>
        </w:tc>
      </w:tr>
    </w:tbl>
    <w:p/>
    <w:p/>
    <w:p>
      <w:pPr>
        <w:spacing w:after="100"/>
      </w:pPr>
      <w:r>
        <w:rPr>
          <w:b/>
          <w:bCs/>
        </w:rPr>
        <w:t xml:space="preserve">Bear / Base / Bull (7-year explicit forecast, Key Value Driver terminal value, terminal g = 2.5%):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1872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Revenue growth path (Yr1→Yr7)</w:t>
            </w:r>
          </w:p>
        </w:tc>
        <w:tc>
          <w:tcPr>
            <w:tcW w:type="dxa" w:w="1872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NOPLAT margin</w:t>
            </w:r>
          </w:p>
        </w:tc>
        <w:tc>
          <w:tcPr>
            <w:tcW w:type="dxa" w:w="1872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Terminal ROIC</w:t>
            </w:r>
          </w:p>
        </w:tc>
        <w:tc>
          <w:tcPr>
            <w:tcW w:type="dxa" w:w="1872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Per-share value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Bear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10%→3% (AI-capex digestion, customer-concentration risk crystallizing)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6% (margin compression under contract-manufacturing pricing pressure in a downturn)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  <w:tc>
          <w:tcPr>
            <w:tcW w:type="dxa" w:w="1872"/>
          </w:tcPr>
          <w:p>
            <w:r>
              <w:rPr>
                <w:b/>
                <w:bCs/>
                <w:sz w:val="18"/>
                <w:szCs w:val="18"/>
              </w:rPr>
              <w:t xml:space="preserve">~$109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25%→7% (moderating but still-strong AI-infra buildout)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8.5% (roughly current after-tax level)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18%</w:t>
            </w:r>
          </w:p>
        </w:tc>
        <w:tc>
          <w:tcPr>
            <w:tcW w:type="dxa" w:w="1872"/>
          </w:tcPr>
          <w:p>
            <w:r>
              <w:rPr>
                <w:b/>
                <w:bCs/>
                <w:sz w:val="18"/>
                <w:szCs w:val="18"/>
              </w:rPr>
              <w:t xml:space="preserve">~$199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40%→11% (sustained ramp toward the company's own $14B capacity target)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10.5% (modest expansion via DC mix/operating leverage)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872"/>
          </w:tcPr>
          <w:p>
            <w:r>
              <w:rPr>
                <w:b/>
                <w:bCs/>
                <w:sz w:val="18"/>
                <w:szCs w:val="18"/>
              </w:rPr>
              <w:t xml:space="preserve">~$361</w:t>
            </w:r>
          </w:p>
        </w:tc>
      </w:tr>
    </w:tbl>
    <w:p/>
    <w:p/>
    <w:p>
      <w:pPr>
        <w:spacing w:after="100"/>
      </w:pPr>
      <w:r>
        <w:t xml:space="preserve">*(Methodology note: reinvestment modeled as g/ROIC per the framework's own reinvestment-rate convention — this is a genuinely capital-intensive business actively building named $100M+ factories, so Bull-case FCFF is heavily constrained by reinvestment even though NOPLAT grows fast; this is a real structural feature, not a modeling artifact, and is a direct read-through of the disclosed capacity buildout in Section 0/1.)*</w:t>
      </w:r>
    </w:p>
    <w:p/>
    <w:p>
      <w:pPr>
        <w:spacing w:after="100"/>
      </w:pPr>
      <w:r>
        <w:rPr>
          <w:b/>
          <w:bCs/>
        </w:rPr>
        <w:t xml:space="preserve">MoS Gate: NONE</w:t>
      </w:r>
      <w:r>
        <w:t xml:space="preserve"> — price ($397.13) sits </w:t>
      </w:r>
      <w:r>
        <w:rPr>
          <w:b/>
          <w:bCs/>
        </w:rPr>
        <w:t xml:space="preserve">~10% above the Bull case ($361)</w:t>
      </w:r>
      <w:r>
        <w:t xml:space="preserve">. Technically "priced for perfection" per the framework's rule, but this is a far smaller gap than LITE (price ~4x above Bull) or MU (price ~2.5x above Bull) — a genuinely different magnitude of stretch, not just a smaller number.</w:t>
      </w:r>
    </w:p>
    <w:p/>
    <w:p/>
    <w:p>
      <w:pPr>
        <w:pStyle w:val="Heading1"/>
        <w:spacing w:after="120" w:before="240"/>
      </w:pPr>
      <w:r>
        <w:t xml:space="preserve">6. Mauboussin — Price-Implied Expectations</w:t>
      </w:r>
    </w:p>
    <w:p/>
    <w:p>
      <w:pPr>
        <w:spacing w:after="100"/>
      </w:pPr>
      <w:r>
        <w:t xml:space="preserve">Today's price sits just above this workup's own Bull case — meaning the price requires something close to the Bull assumptions (sustained 25-40%+ near-term growth decelerating to low-teens, margin expansion to ~10.5%, ROIC 25%) to be realized. Unlike LITE/MU, this isn't an outlandish ask relative to the company's *own* disclosed plans — management's $12.5–14B capacity target (~3x current run-rate) is directionally consistent with something like the Bull growth path, if utilized. The real question the market is pricing is execution risk on that buildout and customer-concentration durability, not whether the TAM/opportunity is real. </w:t>
      </w:r>
      <w:r>
        <w:rPr>
          <w:b/>
          <w:bCs/>
        </w:rPr>
        <w:t xml:space="preserve">Moat/CAP</w:t>
      </w:r>
      <w:r>
        <w:t xml:space="preserve">: switching-cost-plus-scale (type 2/3 in the hierarchy) — narrower and more mechanical than a true network-effects or IP moat; CAP estimated at </w:t>
      </w:r>
      <w:r>
        <w:rPr>
          <w:b/>
          <w:bCs/>
        </w:rPr>
        <w:t xml:space="preserve">5–7 years</w:t>
      </w:r>
      <w:r>
        <w:t xml:space="preserve">, reflecting that contract-manufacturing relationships can and do shift if a competitor offers better economics or a customer brings manufacturing in-house, even with real switching friction.</w:t>
      </w:r>
    </w:p>
    <w:p/>
    <w:p/>
    <w:p>
      <w:pPr>
        <w:pStyle w:val="Heading1"/>
        <w:spacing w:after="120" w:before="240"/>
      </w:pPr>
      <w:r>
        <w:t xml:space="preserve">7. Fisher — Qualitative Checklist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#5/6 (margins)</w:t>
      </w:r>
      <w:r>
        <w:t xml:space="preserve">: </w:t>
      </w:r>
      <w:r>
        <w:rPr>
          <w:b/>
          <w:bCs/>
        </w:rPr>
        <w:t xml:space="preserve">Negative/flat</w:t>
      </w:r>
      <w:r>
        <w:t xml:space="preserve"> — gross margin has not expanded despite massive scale growth and AI mix shift (Section 4) — the clearest Fisher red flag in this report, though it's a structural feature of the business model rather than a deterioration.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#11 (competitive edge)</w:t>
      </w:r>
      <w:r>
        <w:t xml:space="preserve">: Positive — real switching costs from manufacturing-line qualification, at a precision/scale few competitors can match, evidenced by broadening (not narrowing) customer concentration.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#13 (dilution)</w:t>
      </w:r>
      <w:r>
        <w:t xml:space="preserve">: Positive — stable share count, self-funded growth.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#15 (management integrity/disclosure)</w:t>
      </w:r>
      <w:r>
        <w:t xml:space="preserve">: Positive — unusually concrete, dated forward capacity disclosure ($14B target broken into named projects with cost/timeline); insider activity is routine, no concentrated discretionary selling found.</w:t>
      </w:r>
    </w:p>
    <w:p/>
    <w:p/>
    <w:p>
      <w:pPr>
        <w:pStyle w:val="Heading1"/>
        <w:spacing w:after="120" w:before="240"/>
      </w:pPr>
      <w:r>
        <w:t xml:space="preserve">8. Ilmanen — Factor Read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Value</w:t>
      </w:r>
      <w:r>
        <w:t xml:space="preserve">: Ambiguous, not clearly absent — trailing P/E 30.5x is rich, but </w:t>
      </w:r>
      <w:r>
        <w:rPr>
          <w:b/>
          <w:bCs/>
        </w:rPr>
        <w:t xml:space="preserve">forward P/E 21.9x and PEG 0.85</w:t>
      </w:r>
      <w:r>
        <w:t xml:space="preserve"> (below the 1.0 "attractive" line) suggest the growth rate genuinely supports the multiple, a materially different read than LITE's unsupported ~107x.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Quality</w:t>
      </w:r>
      <w:r>
        <w:t xml:space="preserve">: Mixed — debt-free balance sheet and consistent growth are genuine positives; structurally thin, non-expanding margins are a real quality ceiling.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Momentum</w:t>
      </w:r>
      <w:r>
        <w:t xml:space="preserve">: </w:t>
      </w:r>
      <w:r>
        <w:rPr>
          <w:b/>
          <w:bCs/>
        </w:rPr>
        <w:t xml:space="preserve">Negative near-term</w:t>
      </w:r>
      <w:r>
        <w:t xml:space="preserve"> (-47% off ATH, -23.6% trailing 30 days) but strongly positive on a multi-year view (revenue/EPS compounding hard) — a "broken momentum" pattern, similar to UBER/TJX/LLOY.L from earlier this session rather than LITE/MU/MXL's still-extreme momentum.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Low Beta</w:t>
      </w:r>
      <w:r>
        <w:t xml:space="preserve">: Moderate, not low (β 1.21 — near-market, meaningfully lower than the other AI/semi names this session but not a defensive stock).</w:t>
      </w:r>
    </w:p>
    <w:p/>
    <w:p>
      <w:pPr>
        <w:spacing w:after="100"/>
      </w:pPr>
      <w:r>
        <w:rPr>
          <w:b/>
          <w:bCs/>
        </w:rPr>
        <w:t xml:space="preserve">Combined</w:t>
      </w:r>
      <w:r>
        <w:t xml:space="preserve">: a genuine, if partial, factor overlap (value-via-PEG + quality-via-balance-sheet, with recently negative rather than extreme momentum) — structurally closer to UBER's/TJX's profile than to LITE's/MU's single-factor momentum bet.</w:t>
      </w:r>
    </w:p>
    <w:p/>
    <w:p/>
    <w:p>
      <w:pPr>
        <w:pStyle w:val="Heading1"/>
        <w:spacing w:after="120" w:before="240"/>
      </w:pPr>
      <w:r>
        <w:t xml:space="preserve">9. Quality Compounder Screen (Framework 8)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312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312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ROIC 5-yr average &gt;15%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(borderline)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ROE ≈19.3% (FY26); full ROIC not decomposed from invested capital, ROE used as proxy given near-zero debt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ROIC trend stable/improving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margin 8.86%→10.19% over 5 years; equity nearly doubled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Operating margin &gt;15%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18"/>
                <w:szCs w:val="18"/>
              </w:rPr>
              <w:t xml:space="preserve">Fail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~10% — structurally capped by the contract-manufacturing model (see Section 4); this generic Framework 8 threshold is a poor fit for an EMS-type business, flagged explicitly rather than silently passed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FCF conversion (FCF/NI) &gt;80%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18"/>
                <w:szCs w:val="18"/>
              </w:rPr>
              <w:t xml:space="preserve">Flag/Fail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independently computed, but the active, large capex program (Section 0/1) makes high FCF conversion unlikely in this phase — a capital-intensity effect, not an earnings-quality one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 intensity &lt;10%</w:t>
            </w:r>
          </w:p>
        </w:tc>
        <w:tc>
          <w:tcPr>
            <w:tcW w:type="dxa" w:w="3120"/>
          </w:tcPr>
          <w:p>
            <w:r>
              <w:rPr>
                <w:b/>
                <w:bCs/>
                <w:sz w:val="18"/>
                <w:szCs w:val="18"/>
              </w:rPr>
              <w:t xml:space="preserve">Fail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Currently running well above 10% of revenue given the named $3B+ Building 10 project alone against $4.6B FY26 revenue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growth self-funded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dilutive equity issuance found; minimal debt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equity ownership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sourced this pass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Buyback discipline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clear buyback program found; company pays no dividend and appears to be retaining/reinvesting virtually all capital into capacity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M&amp;A discipline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(tentative)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Nava Nakorn facility acquisition reads as a bolt-on capacity purchase, not empire-building — limited information available</w:t>
            </w:r>
          </w:p>
        </w:tc>
      </w:tr>
    </w:tbl>
    <w:p/>
    <w:p/>
    <w:p>
      <w:pPr>
        <w:spacing w:after="100"/>
      </w:pPr>
      <w:r>
        <w:rPr>
          <w:b/>
          <w:bCs/>
        </w:rPr>
        <w:t xml:space="preserve">Count: 4 pass / 3 fail / 2 unavailable → QUALITY tier (4-6 pass) per Framework 8's own count rule.</w:t>
      </w:r>
      <w:r>
        <w:t xml:space="preserve"> Note explicitly: three of the four "fail" criteria (operating margin, FCF conversion, capex intensity) are a poor structural fit for a contract manufacturer in an active, disclosed capacity-expansion phase — this is the same kind of framework-vs-business-model tension flagged for TJX's leverage-ROE distortion and the Banks sector's ROE-vs-ROTE substitution elsewhere this session, not a sign of a deteriorating business.</w:t>
      </w:r>
    </w:p>
    <w:p/>
    <w:p>
      <w:pPr>
        <w:spacing w:after="100"/>
      </w:pPr>
      <w:r>
        <w:rPr>
          <w:b/>
          <w:bCs/>
        </w:rPr>
        <w:t xml:space="preserve">Verdict: WATCH</w:t>
      </w:r>
      <w:r>
        <w:t xml:space="preserve"> — MoS Gate NONE caps the QUALITY finding since price sits above Bull.</w:t>
      </w:r>
    </w:p>
    <w:p/>
    <w:p/>
    <w:p>
      <w:pPr>
        <w:pStyle w:val="Heading1"/>
        <w:spacing w:after="120" w:before="240"/>
      </w:pPr>
      <w:r>
        <w:t xml:space="preserve">10. Sector Appendix</w:t>
      </w:r>
    </w:p>
    <w:p/>
    <w:p>
      <w:pPr>
        <w:spacing w:after="100"/>
      </w:pPr>
      <w:r>
        <w:rPr>
          <w:b/>
          <w:bCs/>
        </w:rPr>
        <w:t xml:space="preserve">Read primarily through a contract-manufacturer-specific lens rather than the standard fabless-semiconductor book-to-bill framing</w:t>
      </w:r>
      <w:r>
        <w:t xml:space="preserve">, since Fabrinet's economics (thin, stable gross margin; capacity/utilization visibility; customer concentration) are the decision-relevant facts, not chip-design metrics like inventory days or fabless gross-margin comparables that don't apply to an EMS model.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FN actual</w:t>
            </w:r>
          </w:p>
        </w:tc>
        <w:tc>
          <w:tcPr>
            <w:tcW w:type="dxa" w:w="312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11.99% TTM, stable 5yr band (11.99-12.71%)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Thin and structurally capped — typical of contract manufacturing, not comparable to a fabless "strong &gt;55%" bar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AI/data-centre revenue %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51% of Q4 revenue, rising fast (+68% YoY)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clearest, most positive trend in the report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concentration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 4 = 58% of FY26 revenue (Cisco 20%, NVIDIA 16%, Nokia 11%, Amazon 11%)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key-customer risk, though genuinely broadening (NVIDIA's share fell YoY even as revenue grew)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 utilization/visibility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$12.5-14B target vs. $5.3B FY26 exit run-rate, named projects with dates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Unusually concrete forward visibility for this kind of company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 / revenue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Elevated, actively building $3B+ in new capacity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Reinvestment-heavy phase, constrains near-term FCF (Section 5/9)</w:t>
            </w:r>
          </w:p>
        </w:tc>
      </w:tr>
    </w:tbl>
    <w:p/>
    <w:p/>
    <w:p/>
    <w:p>
      <w:pPr>
        <w:pStyle w:val="Heading1"/>
        <w:spacing w:after="120" w:before="240"/>
      </w:pPr>
      <w:r>
        <w:t xml:space="preserve">11. Five-Year Ratio Trend Analysis</w:t>
      </w:r>
    </w:p>
    <w:p/>
    <w:p>
      <w:pPr>
        <w:pStyle w:val="Heading2"/>
        <w:spacing w:after="100" w:before="200"/>
      </w:pPr>
      <w:r>
        <w:t xml:space="preserve">Base Ratio Table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156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FY22</w:t>
            </w:r>
          </w:p>
        </w:tc>
        <w:tc>
          <w:tcPr>
            <w:tcW w:type="dxa" w:w="156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FY23</w:t>
            </w:r>
          </w:p>
        </w:tc>
        <w:tc>
          <w:tcPr>
            <w:tcW w:type="dxa" w:w="156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FY24</w:t>
            </w:r>
          </w:p>
        </w:tc>
        <w:tc>
          <w:tcPr>
            <w:tcW w:type="dxa" w:w="156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FY25</w:t>
            </w:r>
          </w:p>
        </w:tc>
        <w:tc>
          <w:tcPr>
            <w:tcW w:type="dxa" w:w="1560"/>
            <w:shd w:fill="DDDDDD" w:val="clear"/>
          </w:tcPr>
          <w:p>
            <w:r>
              <w:rPr>
                <w:b/>
                <w:bCs/>
                <w:sz w:val="18"/>
                <w:szCs w:val="18"/>
              </w:rPr>
              <w:t xml:space="preserve">FY26 (=TTM)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($M)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2,262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2,645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2,883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3,419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4,641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growth YoY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20.37%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16.93%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8.99%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18.60%</w:t>
            </w:r>
          </w:p>
        </w:tc>
        <w:tc>
          <w:tcPr>
            <w:tcW w:type="dxa" w:w="1560"/>
          </w:tcPr>
          <w:p>
            <w:r>
              <w:rPr>
                <w:b/>
                <w:bCs/>
                <w:sz w:val="18"/>
                <w:szCs w:val="18"/>
              </w:rPr>
              <w:t xml:space="preserve">35.73%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12.31%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12.71%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12.35%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12.09%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11.99%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Operating margin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9.05%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9.78%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9.63%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9.53%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9.98%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margin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8.86%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9.37%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10.27%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9.72%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10.19%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EPS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$5.36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$6.73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$8.10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$9.17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$13.05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P/E (period)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independently confirmed for FY22-25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30.5x (current TTM)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Debt ($M)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31.15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13.42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4.99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5.47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4.01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($M)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478.26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550.47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858.60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934.24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875.06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Shareholders' equity ($M)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1,254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1,469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1,746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1,982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2,454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value/share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$34.41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$40.59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$48.30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$55.47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$68.49</w:t>
            </w:r>
          </w:p>
        </w:tc>
      </w:tr>
    </w:tbl>
    <w:p/>
    <w:p/>
    <w:p>
      <w:pPr>
        <w:spacing w:after="100"/>
      </w:pPr>
      <w:r>
        <w:t xml:space="preserve">*Historical FY-end P/E, P/S, P/B, EV/Revenue, EV/EBITDA multiples for FY22-25 were not independently reconstructed this pass (historical share-price-at-fiscal-year-end data not retrieved) — left blank rather than imputed, per the agent's own rule.*</w:t>
      </w:r>
    </w:p>
    <w:p/>
    <w:p>
      <w:pPr>
        <w:pStyle w:val="Heading2"/>
        <w:spacing w:after="100" w:before="200"/>
      </w:pPr>
      <w:r>
        <w:t xml:space="preserve">Interpretation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Gross margin's flat-to-slightly-declining trend (12.31%→11.99%) despite revenue more than doubling</w:t>
      </w:r>
      <w:r>
        <w:t xml:space="preserve"> is the single most decision-relevant row in this table — it directly explains why the DCF terminal margins used in Section 5 are far lower than LITE's or MU's, and why the Quality Compounder screen fails on operating-margin grounds (Section 9) despite genuinely strong growth. This is the hard number behind the Fisher #5/6 finding.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balance-sheet rows (debt collapsing toward zero, equity nearly doubling in two years, consistently strong cash) show real, unambiguous financial strength</w:t>
      </w:r>
      <w:r>
        <w:t xml:space="preserve"> funding the capacity buildout organically — the clearest positive signal in the entire workup, and the basis for the "self-funded growth" pass in Section 9.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EPS growth (+143% over 4 years) has outrun revenue growth (+105%) by a real margin</w:t>
      </w:r>
      <w:r>
        <w:t xml:space="preserve"> without meaningful buybacks or dilution — the gap is explained by modest margin/tax efficiency gains plus operating leverage on opex (1.3% of revenue), not financial engineering.</w:t>
      </w:r>
    </w:p>
    <w:p/>
    <w:p/>
    <w:p>
      <w:pPr>
        <w:pStyle w:val="Heading1"/>
        <w:spacing w:after="120" w:before="240"/>
      </w:pPr>
      <w:r>
        <w:t xml:space="preserve">12. Final Verdict</w:t>
      </w:r>
    </w:p>
    <w:p/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FN | B-SM (contract manufacturer, not fabless) | FastGrower | F-Score: N/A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DCF Bear-Base-Bull: $109 / $199 / $361 | MoS Gate: NONE (price ~10% above Bull)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Compounder: WATCH (structural QUALITY, 4/9, capped by price) | AI Impact: TAILWIND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Horizon: N/A at current price (3-5yr QUALITY if price fell to/below the Bull-case band)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Thesis Invalidation: Data Center revenue growth decelerating meaningfully without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reacceleration, a top-4 customer (Cisco/NVIDIA/Nokia/Amazon) materially cutting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orders or insourcing manufacturing, gross margin compressing further from the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already-thin 12% band, or the disclosed capacity buildout (Building 10 etc.)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slipping/proving underutilized relative to the $12.5-14B target</w:t>
      </w:r>
    </w:p>
    <w:p/>
    <w:p>
      <w:pPr>
        <w:spacing w:after="100"/>
      </w:pPr>
      <w:r>
        <w:t xml:space="preserve">Fabrinet is a fundamentally different kind of business from the fabless/IP names covered earlier this session (LITE, MU, MXL) — a contract manufacturer whose thin, stable margins mean it never gets LITE-style multiple expansion room, but whose price today is also only modestly (not extremely) ahead of what a reasonable Bull case can support, aided by a debt-free balance sheet and unusually concrete forward capacity disclosure. What has to be true for $397.13: something close to sustained 25%+ near-term growth continuing to decelerate gently while the company executes a real, named, ~3x capacity buildout — a genuine execution ask, not a fantasy one, and the closest of this session's semiconductor/AI-infrastructure names to being fairly (rather than extremely) priced.</w:t>
      </w:r>
    </w:p>
    <w:p/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2026-09-22T17:40:03.168Z</dcterms:created>
  <dcterms:modified xsi:type="dcterms:W3CDTF">2026-09-22T17:40:03.173Z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