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GM — General Motors Company — Long-Term Deep-Dive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Date: 2026-09-24 | Price: $82.57 / €72.58 (Sept 24, 2026, EUR/USD 1.1377) | Shares out: 877.5M (10-Q cover, Jul 10 2026) | Market cap: ~$72.5B / €63.7B | Automotive debt: $16.0B | Automotive cash + securities: ~$19.6B | GM Financial debt: $111.7B (captive finance, valued separately)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[FUNDAMENTAL DATA MISSING — GM is not in ./data/fundamental_data.json (outside the /scan universe). All figures below come from GM's SEC filings (Q4-25, Q1-26, Q2-26 8-Ks and the Q2-26 10-Q), GM Financial's Q2-26 release, yfinance and stockanalysis.com, each dated where used.]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Bottom line up front: QUALITY (cyclical), MoS Gate BASE.</w:t>
      </w:r>
      <w:r>
        <w:rPr>
          <w:sz w:val="21"/>
          <w:szCs w:val="21"/>
        </w:rPr>
        <w:t xml:space="preserve"> At $82.57 GM sits between its Bear ($68.56 / €60.26) and Base ($122.04 / €107.27) DCF values. The price implies GM's automotive EBIT margin drops to about 3.6% for good, against about 6.5% on an adjusted basis over 2022–2025. That looks like a real mispricing until you account for the fact that GM books a large "special" charge almost every year: $10.9B of EV charges since H2 2025, about $5B of China impairments in 2024, and the Cruise shutdown before that. Counting those, the all-in margin is roughly 4–4.5%, so the upside is real but much smaller than the adjusted numbers suggest. This is a low-margin cyclical with good capital allocation, not a compounder.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Last reported quarter: Q2 2026, reported July 21, 2026 (source: GM 8-K)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Revenue </w:t>
      </w:r>
      <w:r>
        <w:rPr>
          <w:b/>
          <w:bCs/>
          <w:sz w:val="21"/>
          <w:szCs w:val="21"/>
        </w:rPr>
        <w:t xml:space="preserve">$48.0B</w:t>
      </w:r>
      <w:r>
        <w:rPr>
          <w:sz w:val="21"/>
          <w:szCs w:val="21"/>
        </w:rPr>
        <w:t xml:space="preserve">, up from $47.1B (</w:t>
      </w:r>
      <w:r>
        <w:rPr>
          <w:b/>
          <w:bCs/>
          <w:sz w:val="21"/>
          <w:szCs w:val="21"/>
        </w:rPr>
        <w:t xml:space="preserve">+1.9% YoY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Net income attributable to stockholders </w:t>
      </w:r>
      <w:r>
        <w:rPr>
          <w:b/>
          <w:bCs/>
          <w:sz w:val="21"/>
          <w:szCs w:val="21"/>
        </w:rPr>
        <w:t xml:space="preserve">$1.3B</w:t>
      </w:r>
      <w:r>
        <w:rPr>
          <w:sz w:val="21"/>
          <w:szCs w:val="21"/>
        </w:rPr>
        <w:t xml:space="preserve">, down from $1.9B (</w:t>
      </w:r>
      <w:r>
        <w:rPr>
          <w:b/>
          <w:bCs/>
          <w:sz w:val="21"/>
          <w:szCs w:val="21"/>
        </w:rPr>
        <w:t xml:space="preserve">−31.1% YoY</w:t>
      </w:r>
      <w:r>
        <w:rPr>
          <w:sz w:val="21"/>
          <w:szCs w:val="21"/>
        </w:rPr>
        <w:t xml:space="preserve">). The gap to adjusted figures is </w:t>
      </w:r>
      <w:r>
        <w:rPr>
          <w:b/>
          <w:bCs/>
          <w:sz w:val="21"/>
          <w:szCs w:val="21"/>
        </w:rPr>
        <w:t xml:space="preserve">$2.3B of EV-realignment charges</w:t>
      </w:r>
      <w:r>
        <w:rPr>
          <w:sz w:val="21"/>
          <w:szCs w:val="21"/>
        </w:rPr>
        <w:t xml:space="preserve"> in the quarter ($0.9B supplier cash, $0.7B battery-JV cash, $0.7B non-cash write-offs).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EBIT-adjusted </w:t>
      </w:r>
      <w:r>
        <w:rPr>
          <w:b/>
          <w:bCs/>
          <w:sz w:val="21"/>
          <w:szCs w:val="21"/>
        </w:rPr>
        <w:t xml:space="preserve">$3.9B</w:t>
      </w:r>
      <w:r>
        <w:rPr>
          <w:sz w:val="21"/>
          <w:szCs w:val="21"/>
        </w:rPr>
        <w:t xml:space="preserve">, up from $3.0B (</w:t>
      </w:r>
      <w:r>
        <w:rPr>
          <w:b/>
          <w:bCs/>
          <w:sz w:val="21"/>
          <w:szCs w:val="21"/>
        </w:rPr>
        <w:t xml:space="preserve">+29.8% YoY</w:t>
      </w:r>
      <w:r>
        <w:rPr>
          <w:sz w:val="21"/>
          <w:szCs w:val="21"/>
        </w:rPr>
        <w:t xml:space="preserve">). EBIT-adjusted margin </w:t>
      </w:r>
      <w:r>
        <w:rPr>
          <w:b/>
          <w:bCs/>
          <w:sz w:val="21"/>
          <w:szCs w:val="21"/>
        </w:rPr>
        <w:t xml:space="preserve">8.2%</w:t>
      </w:r>
      <w:r>
        <w:rPr>
          <w:sz w:val="21"/>
          <w:szCs w:val="21"/>
        </w:rPr>
        <w:t xml:space="preserve">, up from 6.4% (</w:t>
      </w:r>
      <w:r>
        <w:rPr>
          <w:b/>
          <w:bCs/>
          <w:sz w:val="21"/>
          <w:szCs w:val="21"/>
        </w:rPr>
        <w:t xml:space="preserve">+1.8pp YoY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EPS-diluted </w:t>
      </w:r>
      <w:r>
        <w:rPr>
          <w:b/>
          <w:bCs/>
          <w:sz w:val="21"/>
          <w:szCs w:val="21"/>
        </w:rPr>
        <w:t xml:space="preserve">$1.41</w:t>
      </w:r>
      <w:r>
        <w:rPr>
          <w:sz w:val="21"/>
          <w:szCs w:val="21"/>
        </w:rPr>
        <w:t xml:space="preserve">, down from $1.91 (</w:t>
      </w:r>
      <w:r>
        <w:rPr>
          <w:b/>
          <w:bCs/>
          <w:sz w:val="21"/>
          <w:szCs w:val="21"/>
        </w:rPr>
        <w:t xml:space="preserve">−26.0% YoY</w:t>
      </w:r>
      <w:r>
        <w:rPr>
          <w:sz w:val="21"/>
          <w:szCs w:val="21"/>
        </w:rPr>
        <w:t xml:space="preserve">). EPS-diluted-adjusted </w:t>
      </w:r>
      <w:r>
        <w:rPr>
          <w:b/>
          <w:bCs/>
          <w:sz w:val="21"/>
          <w:szCs w:val="21"/>
        </w:rPr>
        <w:t xml:space="preserve">$3.57</w:t>
      </w:r>
      <w:r>
        <w:rPr>
          <w:sz w:val="21"/>
          <w:szCs w:val="21"/>
        </w:rPr>
        <w:t xml:space="preserve">, up from $2.53 (</w:t>
      </w:r>
      <w:r>
        <w:rPr>
          <w:b/>
          <w:bCs/>
          <w:sz w:val="21"/>
          <w:szCs w:val="21"/>
        </w:rPr>
        <w:t xml:space="preserve">+41.3% YoY</w:t>
      </w:r>
      <w:r>
        <w:rPr>
          <w:sz w:val="21"/>
          <w:szCs w:val="21"/>
        </w:rPr>
        <w:t xml:space="preserve">), beating the $3.29 consensus by $0.28 (+8.5%).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GMNA</w:t>
      </w:r>
      <w:r>
        <w:rPr>
          <w:sz w:val="21"/>
          <w:szCs w:val="21"/>
        </w:rPr>
        <w:t xml:space="preserve"> EBIT-adj </w:t>
      </w:r>
      <w:r>
        <w:rPr>
          <w:b/>
          <w:bCs/>
          <w:sz w:val="21"/>
          <w:szCs w:val="21"/>
        </w:rPr>
        <w:t xml:space="preserve">$3.4B (+42.7% YoY)</w:t>
      </w:r>
      <w:r>
        <w:rPr>
          <w:sz w:val="21"/>
          <w:szCs w:val="21"/>
        </w:rPr>
        <w:t xml:space="preserve">, margin </w:t>
      </w:r>
      <w:r>
        <w:rPr>
          <w:b/>
          <w:bCs/>
          <w:sz w:val="21"/>
          <w:szCs w:val="21"/>
        </w:rPr>
        <w:t xml:space="preserve">8.6%</w:t>
      </w:r>
      <w:r>
        <w:rPr>
          <w:sz w:val="21"/>
          <w:szCs w:val="21"/>
        </w:rPr>
        <w:t xml:space="preserve">, up from 6.1% (+2.5pp YoY). </w:t>
      </w:r>
      <w:r>
        <w:rPr>
          <w:b/>
          <w:bCs/>
          <w:sz w:val="21"/>
          <w:szCs w:val="21"/>
        </w:rPr>
        <w:t xml:space="preserve">GMI</w:t>
      </w:r>
      <w:r>
        <w:rPr>
          <w:sz w:val="21"/>
          <w:szCs w:val="21"/>
        </w:rPr>
        <w:t xml:space="preserve"> $190M (−6.6% YoY). </w:t>
      </w:r>
      <w:r>
        <w:rPr>
          <w:b/>
          <w:bCs/>
          <w:sz w:val="21"/>
          <w:szCs w:val="21"/>
        </w:rPr>
        <w:t xml:space="preserve">China equity income</w:t>
      </w:r>
      <w:r>
        <w:rPr>
          <w:sz w:val="21"/>
          <w:szCs w:val="21"/>
        </w:rPr>
        <w:t xml:space="preserve"> $83M (+16.9% YoY). </w:t>
      </w:r>
      <w:r>
        <w:rPr>
          <w:b/>
          <w:bCs/>
          <w:sz w:val="21"/>
          <w:szCs w:val="21"/>
        </w:rPr>
        <w:t xml:space="preserve">GM Financial</w:t>
      </w:r>
      <w:r>
        <w:rPr>
          <w:sz w:val="21"/>
          <w:szCs w:val="21"/>
        </w:rPr>
        <w:t xml:space="preserve"> EBT-adj </w:t>
      </w:r>
      <w:r>
        <w:rPr>
          <w:b/>
          <w:bCs/>
          <w:sz w:val="21"/>
          <w:szCs w:val="21"/>
        </w:rPr>
        <w:t xml:space="preserve">$605M</w:t>
      </w:r>
      <w:r>
        <w:rPr>
          <w:sz w:val="21"/>
          <w:szCs w:val="21"/>
        </w:rPr>
        <w:t xml:space="preserve">, down from $704M (</w:t>
      </w:r>
      <w:r>
        <w:rPr>
          <w:b/>
          <w:bCs/>
          <w:sz w:val="21"/>
          <w:szCs w:val="21"/>
        </w:rPr>
        <w:t xml:space="preserve">−14.0% YoY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Adjusted automotive FCF </w:t>
      </w:r>
      <w:r>
        <w:rPr>
          <w:b/>
          <w:bCs/>
          <w:sz w:val="21"/>
          <w:szCs w:val="21"/>
        </w:rPr>
        <w:t xml:space="preserve">$5.03B</w:t>
      </w:r>
      <w:r>
        <w:rPr>
          <w:sz w:val="21"/>
          <w:szCs w:val="21"/>
        </w:rPr>
        <w:t xml:space="preserve">, up from $2.8B (</w:t>
      </w:r>
      <w:r>
        <w:rPr>
          <w:b/>
          <w:bCs/>
          <w:sz w:val="21"/>
          <w:szCs w:val="21"/>
        </w:rPr>
        <w:t xml:space="preserve">+78% YoY</w:t>
      </w:r>
      <w:r>
        <w:rPr>
          <w:sz w:val="21"/>
          <w:szCs w:val="21"/>
        </w:rPr>
        <w:t xml:space="preserve">). YTD: </w:t>
      </w:r>
      <w:r>
        <w:rPr>
          <w:b/>
          <w:bCs/>
          <w:sz w:val="21"/>
          <w:szCs w:val="21"/>
        </w:rPr>
        <w:t xml:space="preserve">$6.30B vs $3.6B (+73% YoY)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Key sector metric (autos: volume, ASP, dealer inventory):</w:t>
      </w:r>
      <w:r>
        <w:rPr>
          <w:sz w:val="21"/>
          <w:szCs w:val="21"/>
        </w:rPr>
        <w:t xml:space="preserve"> US dealer inventory </w:t>
      </w:r>
      <w:r>
        <w:rPr>
          <w:b/>
          <w:bCs/>
          <w:sz w:val="21"/>
          <w:szCs w:val="21"/>
        </w:rPr>
        <w:t xml:space="preserve">511k units / 55 days' supply</w:t>
      </w:r>
      <w:r>
        <w:rPr>
          <w:sz w:val="21"/>
          <w:szCs w:val="21"/>
        </w:rPr>
        <w:t xml:space="preserve"> (target 50–60). GMNA wholesale H1 </w:t>
      </w:r>
      <w:r>
        <w:rPr>
          <w:b/>
          <w:bCs/>
          <w:sz w:val="21"/>
          <w:szCs w:val="21"/>
        </w:rPr>
        <w:t xml:space="preserve">1,641k vs 1,676k (−2.1% YoY)</w:t>
      </w:r>
      <w:r>
        <w:rPr>
          <w:sz w:val="21"/>
          <w:szCs w:val="21"/>
        </w:rPr>
        <w:t xml:space="preserve">. US market share H1 </w:t>
      </w:r>
      <w:r>
        <w:rPr>
          <w:b/>
          <w:bCs/>
          <w:sz w:val="21"/>
          <w:szCs w:val="21"/>
        </w:rPr>
        <w:t xml:space="preserve">16.7%</w:t>
      </w:r>
      <w:r>
        <w:rPr>
          <w:sz w:val="21"/>
          <w:szCs w:val="21"/>
        </w:rPr>
        <w:t xml:space="preserve">, down from 17.3% (−0.6pp YoY). Full-size pickup share </w:t>
      </w:r>
      <w:r>
        <w:rPr>
          <w:b/>
          <w:bCs/>
          <w:sz w:val="21"/>
          <w:szCs w:val="21"/>
        </w:rPr>
        <w:t xml:space="preserve">42%+</w:t>
      </w:r>
      <w:r>
        <w:rPr>
          <w:sz w:val="21"/>
          <w:szCs w:val="21"/>
        </w:rPr>
        <w:t xml:space="preserve">. Management called pricing "consistent" and "disciplined", and said warranty was a key driver of the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Guidance raised for the second time this year</w:t>
      </w:r>
      <w:r>
        <w:rPr>
          <w:sz w:val="21"/>
          <w:szCs w:val="21"/>
        </w:rPr>
        <w:t xml:space="preserve"> (EBIT-adjusted and EPS-adjusted were raised; GAAP net income was </w:t>
      </w:r>
      <w:r>
        <w:rPr>
          <w:b/>
          <w:bCs/>
          <w:sz w:val="21"/>
          <w:szCs w:val="21"/>
        </w:rPr>
        <w:t xml:space="preserve">cut</w:t>
      </w:r>
      <w:r>
        <w:rPr>
          <w:sz w:val="21"/>
          <w:szCs w:val="21"/>
        </w:rPr>
        <w:t xml:space="preserve"> because of the charges):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Software:</w:t>
      </w:r>
      <w:r>
        <w:rPr>
          <w:sz w:val="21"/>
          <w:szCs w:val="21"/>
        </w:rPr>
        <w:t xml:space="preserve"> OnStar + Super Cruise recognized revenue </w:t>
      </w:r>
      <w:r>
        <w:rPr>
          <w:b/>
          <w:bCs/>
          <w:sz w:val="21"/>
          <w:szCs w:val="21"/>
        </w:rPr>
        <w:t xml:space="preserve">$800M in Q2 (+20% YoY)</w:t>
      </w:r>
      <w:r>
        <w:rPr>
          <w:sz w:val="21"/>
          <w:szCs w:val="21"/>
        </w:rPr>
        <w:t xml:space="preserve">. Deferred revenue </w:t>
      </w:r>
      <w:r>
        <w:rPr>
          <w:b/>
          <w:bCs/>
          <w:sz w:val="21"/>
          <w:szCs w:val="21"/>
        </w:rPr>
        <w:t xml:space="preserve">$6.3B (+~50% YoY)</w:t>
      </w:r>
      <w:r>
        <w:rPr>
          <w:sz w:val="21"/>
          <w:szCs w:val="21"/>
        </w:rPr>
        <w:t xml:space="preserve">. Super Cruise attach rates 30–40%.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Capital return:</w:t>
      </w:r>
      <w:r>
        <w:rPr>
          <w:sz w:val="21"/>
          <w:szCs w:val="21"/>
        </w:rPr>
        <w:t xml:space="preserve"> Q2 buyback $2.0B (cash-flow statement; the press release shows $2.8B YTD, and the Q1 cash flow shows $0.8B). Diluted share count </w:t>
      </w:r>
      <w:r>
        <w:rPr>
          <w:b/>
          <w:bCs/>
          <w:sz w:val="21"/>
          <w:szCs w:val="21"/>
        </w:rPr>
        <w:t xml:space="preserve">~893M per management, −8% YoY and −35% since Q2 2023</w:t>
      </w:r>
      <w:r>
        <w:rPr>
          <w:sz w:val="21"/>
          <w:szCs w:val="21"/>
        </w:rPr>
        <w:t xml:space="preserve">. </w:t>
      </w:r>
      <w:r>
        <w:rPr>
          <w:b/>
          <w:bCs/>
          <w:sz w:val="21"/>
          <w:szCs w:val="21"/>
        </w:rPr>
        <w:t xml:space="preserve">$3.5B</w:t>
      </w:r>
      <w:r>
        <w:rPr>
          <w:sz w:val="21"/>
          <w:szCs w:val="21"/>
        </w:rPr>
        <w:t xml:space="preserve"> of authorization remains (of the $6.0B approved Jan 2026). Dividend </w:t>
      </w:r>
      <w:r>
        <w:rPr>
          <w:b/>
          <w:bCs/>
          <w:sz w:val="21"/>
          <w:szCs w:val="21"/>
        </w:rPr>
        <w:t xml:space="preserve">$0.18/qtr</w:t>
      </w:r>
      <w:r>
        <w:rPr>
          <w:sz w:val="21"/>
          <w:szCs w:val="21"/>
        </w:rPr>
        <w:t xml:space="preserve">, raised 20% in Jan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GM Financial credit</w:t>
      </w:r>
      <w:r>
        <w:rPr>
          <w:sz w:val="21"/>
          <w:szCs w:val="21"/>
        </w:rPr>
        <w:t xml:space="preserve"> (Q2-26 release): net charge-offs </w:t>
      </w:r>
      <w:r>
        <w:rPr>
          <w:b/>
          <w:bCs/>
          <w:sz w:val="21"/>
          <w:szCs w:val="21"/>
        </w:rPr>
        <w:t xml:space="preserve">$253M (1.3% annualized)</w:t>
      </w:r>
      <w:r>
        <w:rPr>
          <w:sz w:val="21"/>
          <w:szCs w:val="21"/>
        </w:rPr>
        <w:t xml:space="preserve">, up from $217M (1.1%). 31+ day delinquency </w:t>
      </w:r>
      <w:r>
        <w:rPr>
          <w:b/>
          <w:bCs/>
          <w:sz w:val="21"/>
          <w:szCs w:val="21"/>
        </w:rPr>
        <w:t xml:space="preserve">3.4%</w:t>
      </w:r>
      <w:r>
        <w:rPr>
          <w:sz w:val="21"/>
          <w:szCs w:val="21"/>
        </w:rPr>
        <w:t xml:space="preserve">, up from 2.9% (+0.5pp YoY). Retail credit is getting worse at the margin.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Full-year 2025 anchor (Q4-25 8-K, Jan 27, 2026):</w:t>
      </w:r>
      <w:r>
        <w:rPr>
          <w:sz w:val="21"/>
          <w:szCs w:val="21"/>
        </w:rPr>
        <w:t xml:space="preserve"> revenue $185.0B vs $187.4B (−1.3% YoY). Net income $2.7B vs $6.0B (−55% YoY). EBIT-adj $12.7B vs $14.9B (−14.6% YoY), margin 6.9% vs 8.0%. GMNA margin 6.8% vs 9.2%. EPS-adj flat at $10.60. Adj. auto FCF $10.6B vs $14.0B (−24.6% YoY). Q4-25 took </w:t>
      </w:r>
      <w:r>
        <w:rPr>
          <w:b/>
          <w:bCs/>
          <w:sz w:val="21"/>
          <w:szCs w:val="21"/>
        </w:rPr>
        <w:t xml:space="preserve">$7.2B of special charges</w:t>
      </w:r>
      <w:r>
        <w:rPr>
          <w:sz w:val="21"/>
          <w:szCs w:val="21"/>
        </w:rPr>
        <w:t xml:space="preserve">, driven by EV capacity realignment after US consumer EV incentives ended and emissions rules were relaxed.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Recent news (trailing ~90 days):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Jul 28, 2026:</w:t>
      </w:r>
      <w:r>
        <w:rPr>
          <w:sz w:val="21"/>
          <w:szCs w:val="21"/>
        </w:rPr>
        <w:t xml:space="preserve"> CEO Mary Barra sold </w:t>
      </w:r>
      <w:r>
        <w:rPr>
          <w:b/>
          <w:bCs/>
          <w:sz w:val="21"/>
          <w:szCs w:val="21"/>
        </w:rPr>
        <w:t xml:space="preserve">422,809 shares (~$38M)</w:t>
      </w:r>
      <w:r>
        <w:rPr>
          <w:sz w:val="21"/>
          <w:szCs w:val="21"/>
        </w:rPr>
        <w:t xml:space="preserve"> through option exercise and sale. She also sold 453,402 shares (~$37.2M) on May 26–28 and 99,239 shares (~$8.4M) on Jun 16. That is </w:t>
      </w:r>
      <w:r>
        <w:rPr>
          <w:b/>
          <w:bCs/>
          <w:sz w:val="21"/>
          <w:szCs w:val="21"/>
        </w:rPr>
        <w:t xml:space="preserve">~$84M in about 2 months</w:t>
      </w:r>
      <w:r>
        <w:rPr>
          <w:sz w:val="21"/>
          <w:szCs w:val="21"/>
        </w:rPr>
        <w:t xml:space="preserve">, with no open-market purchases, and ~4.7M shares (~$286M) sold since 2021.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Sept 17, 2026:</w:t>
      </w:r>
      <w:r>
        <w:rPr>
          <w:sz w:val="21"/>
          <w:szCs w:val="21"/>
        </w:rPr>
        <w:t xml:space="preserve"> GM Defense delivered its first Patriot missile parts to Lockheed Martin. A $697.7M contract modification took the cumulative face value of one GM Defense contract to </w:t>
      </w:r>
      <w:r>
        <w:rPr>
          <w:b/>
          <w:bCs/>
          <w:sz w:val="21"/>
          <w:szCs w:val="21"/>
        </w:rPr>
        <w:t xml:space="preserve">$915.6M</w:t>
      </w:r>
      <w:r>
        <w:rPr>
          <w:sz w:val="21"/>
          <w:szCs w:val="21"/>
        </w:rPr>
        <w:t xml:space="preserve">. Immaterial against $185B of revenue, but it is optionality.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Sept 18, 2026:</w:t>
      </w:r>
      <w:r>
        <w:rPr>
          <w:sz w:val="21"/>
          <w:szCs w:val="21"/>
        </w:rPr>
        <w:t xml:space="preserve"> UBS raised its target </w:t>
      </w:r>
      <w:r>
        <w:rPr>
          <w:b/>
          <w:bCs/>
          <w:sz w:val="21"/>
          <w:szCs w:val="21"/>
        </w:rPr>
        <w:t xml:space="preserve">$102 → $114</w:t>
      </w:r>
      <w:r>
        <w:rPr>
          <w:sz w:val="21"/>
          <w:szCs w:val="21"/>
        </w:rPr>
        <w:t xml:space="preserve"> (Buy). The same day the stock fell </w:t>
      </w:r>
      <w:r>
        <w:rPr>
          <w:b/>
          <w:bCs/>
          <w:sz w:val="21"/>
          <w:szCs w:val="21"/>
        </w:rPr>
        <w:t xml:space="preserve">−5.1% to $82.20</w:t>
      </w:r>
      <w:r>
        <w:rPr>
          <w:sz w:val="21"/>
          <w:szCs w:val="21"/>
        </w:rPr>
        <w:t xml:space="preserve"> as quality/recall costs came back into focus across Detroit automakers.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Consensus (MarketBeat, Sept 20):</w:t>
      </w:r>
      <w:r>
        <w:rPr>
          <w:sz w:val="21"/>
          <w:szCs w:val="21"/>
        </w:rPr>
        <w:t xml:space="preserve"> Moderate Buy, 23 analysts (1 Strong Buy / 18 Buy / 3 Hold / 1 Sell). Mean target </w:t>
      </w:r>
      <w:r>
        <w:rPr>
          <w:b/>
          <w:bCs/>
          <w:sz w:val="21"/>
          <w:szCs w:val="21"/>
        </w:rPr>
        <w:t xml:space="preserve">$101.82 / €89.50</w:t>
      </w:r>
      <w:r>
        <w:rPr>
          <w:sz w:val="21"/>
          <w:szCs w:val="21"/>
        </w:rPr>
        <w:t xml:space="preserve"> (+23% vs $82.57). Range $61–$132. yfinance mean $104.22.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Tariffs:</w:t>
      </w:r>
      <w:r>
        <w:rPr>
          <w:sz w:val="21"/>
          <w:szCs w:val="21"/>
        </w:rPr>
        <w:t xml:space="preserve"> a Supreme Court ruling produced a ~$0.5B tariff refund/adjustment in Q1-26. The auto-sector tariffs in the 2026 guide ($2.5–3.5B gross) remain. GM is targeting </w:t>
      </w:r>
      <w:r>
        <w:rPr>
          <w:b/>
          <w:bCs/>
          <w:sz w:val="21"/>
          <w:szCs w:val="21"/>
        </w:rPr>
        <w:t xml:space="preserve">&gt;2M units of US production capacity from 2027</w:t>
      </w:r>
      <w:r>
        <w:rPr>
          <w:sz w:val="21"/>
          <w:szCs w:val="21"/>
        </w:rPr>
        <w:t xml:space="preserve"> (onshoring) and says tariff expense should fall in 2027.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Next catalyst:</w:t>
      </w:r>
      <w:r>
        <w:rPr>
          <w:sz w:val="21"/>
          <w:szCs w:val="21"/>
        </w:rPr>
        <w:t xml:space="preserve"> Q3-26 results on </w:t>
      </w:r>
      <w:r>
        <w:rPr>
          <w:b/>
          <w:bCs/>
          <w:sz w:val="21"/>
          <w:szCs w:val="21"/>
        </w:rPr>
        <w:t xml:space="preserve">Tuesday Oct 20, 2026</w:t>
      </w:r>
      <w:r>
        <w:rPr>
          <w:sz w:val="21"/>
          <w:szCs w:val="21"/>
        </w:rPr>
        <w:t xml:space="preserve">, 6:30am ET (26 days away).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Price:</w:t>
      </w:r>
      <w:r>
        <w:rPr>
          <w:sz w:val="21"/>
          <w:szCs w:val="21"/>
        </w:rPr>
        <w:t xml:space="preserve"> 52-week range </w:t>
      </w:r>
      <w:r>
        <w:rPr>
          <w:b/>
          <w:bCs/>
          <w:sz w:val="21"/>
          <w:szCs w:val="21"/>
        </w:rPr>
        <w:t xml:space="preserve">$54.33–$91.85</w:t>
      </w:r>
      <w:r>
        <w:rPr>
          <w:sz w:val="21"/>
          <w:szCs w:val="21"/>
        </w:rPr>
        <w:t xml:space="preserve">. $82.57 is 10.1% below the high and +52% above the low. +38% over 52 weeks vs S&amp;P +16.7%.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Segments (GM's own reporting):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3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3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Principal markets:</w:t>
      </w:r>
      <w:r>
        <w:rPr>
          <w:sz w:val="21"/>
          <w:szCs w:val="21"/>
        </w:rPr>
        <w:t xml:space="preserve"> North America dominates (GMNA ≈ 85%+ of automotive revenue). The customers are retail buyers through ~4,000 US franchised dealers, plus fleet and government (GM Defense). </w:t>
      </w: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Ford and Stellantis (full-size trucks), Toyota, Hyundai-Kia and Honda (volume segments), Tesla and Chinese OEMs (EV, mostly outside the US). </w:t>
      </w:r>
      <w:r>
        <w:rPr>
          <w:b/>
          <w:bCs/>
          <w:sz w:val="21"/>
          <w:szCs w:val="21"/>
        </w:rPr>
        <w:t xml:space="preserve">Market position:</w:t>
      </w:r>
      <w:r>
        <w:rPr>
          <w:sz w:val="21"/>
          <w:szCs w:val="21"/>
        </w:rPr>
        <w:t xml:space="preserve"> #1 US OEM by volume. US share </w:t>
      </w:r>
      <w:r>
        <w:rPr>
          <w:b/>
          <w:bCs/>
          <w:sz w:val="21"/>
          <w:szCs w:val="21"/>
        </w:rPr>
        <w:t xml:space="preserve">17.2% in FY25, 16.7% in H1-26</w:t>
      </w:r>
      <w:r>
        <w:rPr>
          <w:sz w:val="21"/>
          <w:szCs w:val="21"/>
        </w:rPr>
        <w:t xml:space="preserve">. #1 in full-size pickups at </w:t>
      </w:r>
      <w:r>
        <w:rPr>
          <w:b/>
          <w:bCs/>
          <w:sz w:val="21"/>
          <w:szCs w:val="21"/>
        </w:rPr>
        <w:t xml:space="preserve">42%+</w:t>
      </w:r>
      <w:r>
        <w:rPr>
          <w:sz w:val="21"/>
          <w:szCs w:val="21"/>
        </w:rPr>
        <w:t xml:space="preserve">, 10+ points ahead of the nearest rival.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TAM:</w:t>
      </w:r>
      <w:r>
        <w:rPr>
          <w:sz w:val="21"/>
          <w:szCs w:val="21"/>
        </w:rPr>
        <w:t xml:space="preserve"> GM does not disclose a TAM figure. Independent anchor: US light-vehicle sales run ~15.5–16.5M units/yr (industry SAAR range, not company-disclosed). GM's ~16.7% share implies ~2.6–2.8M US units. Penetration of a mature, saturated market is not a useful growth lever. The only real TAM expansion levers are software (Super Cruise/OnStar subscriptions on a ~$6.3B deferred base) and defense. Neither is yet large enough to change the valuation anchor.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Track A-CD (Consumer Discretionary, autos sub-sector).</w:t>
      </w:r>
      <w:r>
        <w:rPr>
          <w:sz w:val="21"/>
          <w:szCs w:val="21"/>
        </w:rPr>
        <w:t xml:space="preserve"> GM is a mature, asset-heavy, cyclical OEM with steady-state earnings, so the primary anchor is the Koller DCF plus peer-relative multiples. </w:t>
      </w:r>
      <w:r>
        <w:rPr>
          <w:b/>
          <w:bCs/>
          <w:sz w:val="21"/>
          <w:szCs w:val="21"/>
        </w:rPr>
        <w:t xml:space="preserve">Structural adjustment:</w:t>
      </w:r>
      <w:r>
        <w:rPr>
          <w:sz w:val="21"/>
          <w:szCs w:val="21"/>
        </w:rPr>
        <w:t xml:space="preserve"> GM Financial is a leveraged captive lender and is valued separately at book (Koller's rule for financial subsidiaries). Folding its $111.7B of debt into an industrial WACC/EV would badly distort both leverage and ROIC. The Industrials (ID) appendix is used as a secondary cross-check for ROIC and operating leverage.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Cyclical.</w:t>
      </w:r>
      <w:r>
        <w:rPr>
          <w:sz w:val="21"/>
          <w:szCs w:val="21"/>
        </w:rPr>
        <w:t xml:space="preserve"> Revenue fell −1.3% in FY25 after +23.4% (FY22) and +9.6% (FY23). GAAP EPS swung $6.70 → $6.13 → $7.32 → $6.37 → $3.27 (FY21–25). EBIT-adj margin ranged from 11.3% to 6.9% in five years with no trend growth. Lynch's cyclical rule applies directly: a </w:t>
      </w:r>
      <w:r>
        <w:rPr>
          <w:b/>
          <w:bCs/>
          <w:sz w:val="21"/>
          <w:szCs w:val="21"/>
        </w:rPr>
        <w:t xml:space="preserve">low P/E on peak-ish earnings is a warning, not a bargain</w:t>
      </w:r>
      <w:r>
        <w:rPr>
          <w:sz w:val="21"/>
          <w:szCs w:val="21"/>
        </w:rPr>
        <w:t xml:space="preserve">. GM trades at ~6.4× 2026E adjusted EPS (midpoint $13.00), which is exactly how a cyclical looks near a strong year. The counterpoint is that GMNA margin (8.6–10.1% in H1-26) is at mid-cycle levels, not the 2022 peak, and US SAAR is not at a cycle high.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Accrual ratio (consolidated, FY25):</w:t>
      </w:r>
      <w:r>
        <w:rPr>
          <w:sz w:val="21"/>
          <w:szCs w:val="21"/>
        </w:rPr>
        <w:t xml:space="preserve"> (NI $2.7B − OCF $26.9B) ÷ avg assets $280.5B = </w:t>
      </w:r>
      <w:r>
        <w:rPr>
          <w:b/>
          <w:bCs/>
          <w:sz w:val="21"/>
          <w:szCs w:val="21"/>
        </w:rPr>
        <w:t xml:space="preserve">−8.6%</w:t>
      </w:r>
      <w:r>
        <w:rPr>
          <w:sz w:val="21"/>
          <w:szCs w:val="21"/>
        </w:rPr>
        <w:t xml:space="preserve">. Strongly negative, so earnings are more than cash-backed. Caveat: consolidated OCF includes GM Financial's operating flows. On an automotive-only basis (auto OCF $18.7B vs NI $2.7B) the conclusion is the same. </w:t>
      </w:r>
      <w:r>
        <w:rPr>
          <w:b/>
          <w:bCs/>
          <w:sz w:val="21"/>
          <w:szCs w:val="21"/>
        </w:rPr>
        <w:t xml:space="preserve">No accrual flag.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Transitory vs persistent — the central Penman issue for GM.</w:t>
      </w:r>
      <w:r>
        <w:rPr>
          <w:sz w:val="21"/>
          <w:szCs w:val="21"/>
        </w:rPr>
        <w:t xml:space="preserve"> Management excludes a lot of "special items" from EBIT-adjusted, and some kind of special item appears </w:t>
      </w:r>
      <w:r>
        <w:rPr>
          <w:b/>
          <w:bCs/>
          <w:sz w:val="21"/>
          <w:szCs w:val="21"/>
        </w:rPr>
        <w:t xml:space="preserve">almost every year</w:t>
      </w:r>
      <w:r>
        <w:rPr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5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5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5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5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5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1"/>
          <w:szCs w:val="21"/>
        </w:rPr>
        <w:t xml:space="preserve">The cumulative FY22–H1-26 gap is </w:t>
      </w:r>
      <w:r>
        <w:rPr>
          <w:b/>
          <w:bCs/>
          <w:sz w:val="21"/>
          <w:szCs w:val="21"/>
        </w:rPr>
        <w:t xml:space="preserve">~$16/share</w:t>
      </w:r>
      <w:r>
        <w:rPr>
          <w:sz w:val="21"/>
          <w:szCs w:val="21"/>
        </w:rPr>
        <w:t xml:space="preserve">, about 3–4 years of dividends plus a large share of the buyback. The EV and China charges are defensible one-time resets of specific strategic mistakes. But a business that needs a new multi-billion "one-time" reset every year is not showing transitory items. </w:t>
      </w:r>
      <w:r>
        <w:rPr>
          <w:b/>
          <w:bCs/>
          <w:sz w:val="21"/>
          <w:szCs w:val="21"/>
        </w:rPr>
        <w:t xml:space="preserve">Persistent all-in earnings are closer to GAAP-plus-half-the-gap than to EBIT-adjusted.</w:t>
      </w:r>
      <w:r>
        <w:rPr>
          <w:sz w:val="21"/>
          <w:szCs w:val="21"/>
        </w:rPr>
        <w:t xml:space="preserve"> Every DCF scenario below is read against that.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RNOA vs leverage:</w:t>
      </w:r>
      <w:r>
        <w:rPr>
          <w:sz w:val="21"/>
          <w:szCs w:val="21"/>
        </w:rPr>
        <w:t xml:space="preserve"> GAAP ROE is </w:t>
      </w:r>
      <w:r>
        <w:rPr>
          <w:b/>
          <w:bCs/>
          <w:sz w:val="21"/>
          <w:szCs w:val="21"/>
        </w:rPr>
        <w:t xml:space="preserve">3.2% TTM</w:t>
      </w:r>
      <w:r>
        <w:rPr>
          <w:sz w:val="21"/>
          <w:szCs w:val="21"/>
        </w:rPr>
        <w:t xml:space="preserve"> (NI $1.86B / equity $62.0B), down from 17.2% (FY21). Adjusted ROE on EPS-adj is ~17%. Consolidated D/E of 2.0× is almost entirely GM Financial funding. </w:t>
      </w:r>
      <w:r>
        <w:rPr>
          <w:b/>
          <w:bCs/>
          <w:sz w:val="21"/>
          <w:szCs w:val="21"/>
        </w:rPr>
        <w:t xml:space="preserve">Automotive has net cash of ~+$3.6B</w:t>
      </w:r>
      <w:r>
        <w:rPr>
          <w:sz w:val="21"/>
          <w:szCs w:val="21"/>
        </w:rPr>
        <w:t xml:space="preserve"> ($19.6B cash+securities − $16.0B debt). So the automotive business is not levered, and any ROE is operating return, not financial engineering. Estimated automotive ROIC is ~13% (2026E auto NOPLAT ~$9.8B ÷ est. automotive invested capital ~$70–75B). This is an estimate, because GM does not publish segment invested capital.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Margin trend (actual figures):</w:t>
      </w:r>
      <w:r>
        <w:rPr>
          <w:sz w:val="21"/>
          <w:szCs w:val="21"/>
        </w:rPr>
        <w:t xml:space="preserve"> EBIT-adj margin by quarter: Q2-25 6.4% → Q1-26 9.7% → Q2-26 8.2%. GAAP gross margin (consolidated) </w:t>
      </w:r>
      <w:r>
        <w:rPr>
          <w:b/>
          <w:bCs/>
          <w:sz w:val="21"/>
          <w:szCs w:val="21"/>
        </w:rPr>
        <w:t xml:space="preserve">14.2% (FY21) → 10.2% (TTM)</w:t>
      </w:r>
      <w:r>
        <w:rPr>
          <w:sz w:val="21"/>
          <w:szCs w:val="21"/>
        </w:rPr>
        <w:t xml:space="preserve">, down four years in a row. That is a real Fisher #5 concern, partly caused by tariffs ($2.5–3.5B/yr, ~1.5pp of revenue) and EV losses.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Working capital:</w:t>
      </w:r>
      <w:r>
        <w:rPr>
          <w:sz w:val="21"/>
          <w:szCs w:val="21"/>
        </w:rPr>
        <w:t xml:space="preserve"> inventory $15.95B (Q2-26) vs $14.47B (FY25), +10% in six months while H1 revenue was +0.6%. Dealer days (55) are within target, so this is a watch item, not a flag.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Dilution:</w:t>
      </w:r>
      <w:r>
        <w:rPr>
          <w:sz w:val="21"/>
          <w:szCs w:val="21"/>
        </w:rPr>
        <w:t xml:space="preserve"> none. Shares went </w:t>
      </w:r>
      <w:r>
        <w:rPr>
          <w:b/>
          <w:bCs/>
          <w:sz w:val="21"/>
          <w:szCs w:val="21"/>
        </w:rPr>
        <w:t xml:space="preserve">1.45B (FY22 diluted) → 877.5M (Jul 2026)</w:t>
      </w:r>
      <w:r>
        <w:rPr>
          <w:sz w:val="21"/>
          <w:szCs w:val="21"/>
        </w:rPr>
        <w:t xml:space="preserve">, a 40% reduction.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Structure:</w:t>
      </w:r>
      <w:r>
        <w:rPr>
          <w:sz w:val="21"/>
          <w:szCs w:val="21"/>
        </w:rPr>
        <w:t xml:space="preserve"> automotive FCFF DCF (ex-GM Financial), plus automotive net cash, minus after-tax pension/OPEB, minus the unpaid EV restructuring cash (excluded from adjusted FCF, so it is treated as debt-like), plus GM Financial at 1.0× book. GMF ROE ≈ (H1 EBT $1.3B × 2 × 0.79) / $15.9B ≈ 13%, roughly its cost of equity, so ~1.0× P/B is fair.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WACC construction (automotive):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3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3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Market-implied automotive EV:</w:t>
      </w:r>
      <w:r>
        <w:rPr>
          <w:sz w:val="21"/>
          <w:szCs w:val="21"/>
        </w:rPr>
        <w:t xml:space="preserve"> $72.5B mkt cap − $19.6B auto cash + $16.0B auto debt + $6.7B pension + $2.7B unpaid EV cash charges − $15.9B GMF = </w:t>
      </w:r>
      <w:r>
        <w:rPr>
          <w:b/>
          <w:bCs/>
          <w:sz w:val="21"/>
          <w:szCs w:val="21"/>
        </w:rPr>
        <w:t xml:space="preserve">$62.3B</w:t>
      </w:r>
      <w:r>
        <w:rPr>
          <w:sz w:val="21"/>
          <w:szCs w:val="21"/>
        </w:rPr>
        <w:t xml:space="preserve">. That is </w:t>
      </w:r>
      <w:r>
        <w:rPr>
          <w:b/>
          <w:bCs/>
          <w:sz w:val="21"/>
          <w:szCs w:val="21"/>
        </w:rPr>
        <w:t xml:space="preserve">~5.0× 2026E automotive EBIT</w:t>
      </w:r>
      <w:r>
        <w:rPr>
          <w:sz w:val="21"/>
          <w:szCs w:val="21"/>
        </w:rPr>
        <w:t xml:space="preserve"> (~$12.4B = $15.0B guide midpoint − ~$2.6B GMF EBT) and a </w:t>
      </w:r>
      <w:r>
        <w:rPr>
          <w:b/>
          <w:bCs/>
          <w:sz w:val="21"/>
          <w:szCs w:val="21"/>
        </w:rPr>
        <w:t xml:space="preserve">~17% yield on the $10.5B adj. auto FCF guide</w:t>
      </w:r>
      <w:r>
        <w:rPr>
          <w:sz w:val="21"/>
          <w:szCs w:val="21"/>
        </w:rPr>
        <w:t xml:space="preserve">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Scenarios</w:t>
      </w:r>
      <w:r>
        <w:rPr>
          <w:sz w:val="21"/>
          <w:szCs w:val="21"/>
        </w:rPr>
        <w:t xml:space="preserve"> (2026E automotive revenue base $168B ≈ $185B consolidated − ~$17B GMF revenue; 5-year explicit period, matching the narrow-moat CAP in §6; reinvestment = g ÷ 13% ROIC; continuing value by the Key Value Driver formula, g = 2%):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1"/>
          <w:szCs w:val="21"/>
        </w:rPr>
        <w:t xml:space="preserve">Probability-weighted value: </w:t>
      </w:r>
      <w:r>
        <w:rPr>
          <w:b/>
          <w:bCs/>
          <w:sz w:val="21"/>
          <w:szCs w:val="21"/>
        </w:rPr>
        <w:t xml:space="preserve">$112.8 / €99.1</w:t>
      </w:r>
      <w:r>
        <w:rPr>
          <w:sz w:val="21"/>
          <w:szCs w:val="21"/>
        </w:rPr>
        <w:t xml:space="preserve">. The bear exit margin of 3.5% is roughly GM's </w:t>
      </w:r>
      <w:r>
        <w:rPr>
          <w:b/>
          <w:bCs/>
          <w:sz w:val="21"/>
          <w:szCs w:val="21"/>
        </w:rPr>
        <w:t xml:space="preserve">all-in</w:t>
      </w:r>
      <w:r>
        <w:rPr>
          <w:sz w:val="21"/>
          <w:szCs w:val="21"/>
        </w:rPr>
        <w:t xml:space="preserve"> (post-special-items) margin history, which makes it a realistic outcome rather than a tail case.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Cross-check (exit multiple):</w:t>
      </w:r>
      <w:r>
        <w:rPr>
          <w:sz w:val="21"/>
          <w:szCs w:val="21"/>
        </w:rPr>
        <w:t xml:space="preserve"> base year-5 automotive EBIT $11.8B × 5–7× EV/EBIT (Detroit/Stellantis peer range) → </w:t>
      </w:r>
      <w:r>
        <w:rPr>
          <w:b/>
          <w:bCs/>
          <w:sz w:val="21"/>
          <w:szCs w:val="21"/>
        </w:rPr>
        <w:t xml:space="preserve">$90.9–$107.9/share</w:t>
      </w:r>
      <w:r>
        <w:rPr>
          <w:sz w:val="21"/>
          <w:szCs w:val="21"/>
        </w:rPr>
        <w:t xml:space="preserve">, vs $122 from KVD. The ~15–25% gap is under the framework's 30% re-examination threshold, but it says the market structurally refuses to pay a mid-cycle multiple for a Detroit OEM. The base DCF is more generous than peer pricing.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Benninga check:</w:t>
      </w:r>
      <w:r>
        <w:rPr>
          <w:sz w:val="21"/>
          <w:szCs w:val="21"/>
        </w:rPr>
        <w:t xml:space="preserve"> terminal value is 59–71% of EV across scenarios, inside the normal 60–80% band and far from the &gt;90% red flag. GM's value sits in near-term cash flows, so the valuation is </w:t>
      </w:r>
      <w:r>
        <w:rPr>
          <w:b/>
          <w:bCs/>
          <w:sz w:val="21"/>
          <w:szCs w:val="21"/>
        </w:rPr>
        <w:t xml:space="preserve">less rate-sensitive</w:t>
      </w:r>
      <w:r>
        <w:rPr>
          <w:sz w:val="21"/>
          <w:szCs w:val="21"/>
        </w:rPr>
        <w:t xml:space="preserve"> than a growth name's. Adjusted auto FCF guidance ($9.5–11.5B) is *above* the model's year-1 base FCFF ($8.6B), so the base is conservative on cash conversion.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Sensitivity 1 — WACC × terminal g (base operations), $/share: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Sensitivity 2 — revenue CAGR × terminal auto EBIT margin, $/share: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8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8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8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8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1"/>
          <w:szCs w:val="21"/>
        </w:rPr>
        <w:t xml:space="preserve">Margin drives everything and growth hardly matters, which is typical for a no-growth cyclical. Each 1.5pp of sustainable auto EBIT margin is worth about </w:t>
      </w:r>
      <w:r>
        <w:rPr>
          <w:b/>
          <w:bCs/>
          <w:sz w:val="21"/>
          <w:szCs w:val="21"/>
        </w:rPr>
        <w:t xml:space="preserve">$20/share</w:t>
      </w:r>
      <w:r>
        <w:rPr>
          <w:sz w:val="21"/>
          <w:szCs w:val="21"/>
        </w:rPr>
        <w:t xml:space="preserve">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Rate sensitivity (10Y):</w:t>
      </w:r>
      <w:r>
        <w:rPr>
          <w:sz w:val="21"/>
          <w:szCs w:val="21"/>
        </w:rPr>
        <w:t xml:space="preserve"> Rf 4.50% → Bear/Base/Bull $71.5 / $129.5 / $166.8. Rf 5.09% → $68.6 / $122.0 / $156.1. Rf 5.60% → $66.2 / $116.3 / $147.9.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MoS Gate: BASE.</w:t>
      </w:r>
      <w:r>
        <w:rPr>
          <w:sz w:val="21"/>
          <w:szCs w:val="21"/>
        </w:rPr>
        <w:t xml:space="preserve"> $82.57 is below Base ($122.04) and above Bear ($68.56). The price is 17% below the probability-weighted value, and the Bear case is still 17% below the price.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60"/>
      </w:pPr>
      <w:r>
        <w:rPr>
          <w:sz w:val="21"/>
          <w:szCs w:val="21"/>
        </w:rPr>
        <w:t xml:space="preserve">Holding 1.5% growth and the base 7.2% starting margin, and solving for the terminal automotive EBIT margin that the current $82.57 requires: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8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8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8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8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Historical base rate:</w:t>
      </w:r>
      <w:r>
        <w:rPr>
          <w:sz w:val="21"/>
          <w:szCs w:val="21"/>
        </w:rPr>
        <w:t xml:space="preserve"> estimated automotive EBIT margin (EBIT-adj less GMF EBT, over automotive revenue) was ≈7.3% (FY22), 6.0% (FY23), 7.0% (FY24), 5.9% (FY25), </w:t>
      </w:r>
      <w:r>
        <w:rPr>
          <w:b/>
          <w:bCs/>
          <w:sz w:val="21"/>
          <w:szCs w:val="21"/>
        </w:rPr>
        <w:t xml:space="preserve">avg ≈ 6.5%</w:t>
      </w:r>
      <w:r>
        <w:rPr>
          <w:sz w:val="21"/>
          <w:szCs w:val="21"/>
        </w:rPr>
        <w:t xml:space="preserve">. GMNA alone ran 6.8–9.3%. The market-implied 3.1–4.0% is </w:t>
      </w:r>
      <w:r>
        <w:rPr>
          <w:b/>
          <w:bCs/>
          <w:sz w:val="21"/>
          <w:szCs w:val="21"/>
        </w:rPr>
        <w:t xml:space="preserve">roughly half the adjusted base rate</w:t>
      </w:r>
      <w:r>
        <w:rPr>
          <w:sz w:val="21"/>
          <w:szCs w:val="21"/>
        </w:rPr>
        <w:t xml:space="preserve">. On the Mauboussin table ("implied growth &lt;&lt; base rate") that would normally be a strong positive asymmetry.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What has to be true (skeptic's reading):</w:t>
      </w:r>
      <w:r>
        <w:rPr>
          <w:sz w:val="21"/>
          <w:szCs w:val="21"/>
        </w:rPr>
        <w:t xml:space="preserve"> 1. *For the bull thesis:* adjusted margin has to be the persistent number. That means EV losses shrink as guided ($1.0–1.5B improvement in 2026), tariffs fall after 2027 onshoring, and trucks keep 40%+ share without an incentive war. Under those conditions the stock is worth $120+. 2. *For the price to be fair:* special charges keep recurring at FY22–26 averages (~$3–4B/yr pre-tax, ~2pp of margin), </w:t>
      </w:r>
      <w:r>
        <w:rPr>
          <w:b/>
          <w:bCs/>
          <w:sz w:val="21"/>
          <w:szCs w:val="21"/>
        </w:rPr>
        <w:t xml:space="preserve">or</w:t>
      </w:r>
      <w:r>
        <w:rPr>
          <w:sz w:val="21"/>
          <w:szCs w:val="21"/>
        </w:rPr>
        <w:t xml:space="preserve"> a cyclical downturn compresses GMNA to 2019–2020 levels. The market is effectively pricing all-in, cycle-average economics,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a collapse. Measured against *all-in* history (~4–4.5%), the implied 3.6% is only modestly pessimistic. 3. The asymmetry is therefore real but </w:t>
      </w:r>
      <w:r>
        <w:rPr>
          <w:b/>
          <w:bCs/>
          <w:sz w:val="21"/>
          <w:szCs w:val="21"/>
        </w:rPr>
        <w:t xml:space="preserve">narrower than the headline</w:t>
      </w:r>
      <w:r>
        <w:rPr>
          <w:sz w:val="21"/>
          <w:szCs w:val="21"/>
        </w:rPr>
        <w:t xml:space="preserve">: about +15–25% if charges stop, not +50%.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Moat and CAP: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narrow moat, CAP about 3–5 years.</w:t>
      </w:r>
      <w:r>
        <w:rPr>
          <w:sz w:val="21"/>
          <w:szCs w:val="21"/>
        </w:rPr>
        <w:t xml:space="preserve"> The moat types are cost advantage from scale plus efficient scale in North American full-size body-on-frame trucks/SUVs (42% pickup share, dealer network, fixed-cost absorption). Software (Super Cruise, $6.3B deferred) is an emerging switching-cost layer but is not earned yet. There is no network effect, and brand is not a pricing-power moat in volume autos. The CAP depends on truck profit pools staying protected from Asian and Chinese entry (currently shielded by the 25% light-truck "chicken tax" plus tariffs, which is a </w:t>
      </w:r>
      <w:r>
        <w:rPr>
          <w:b/>
          <w:bCs/>
          <w:sz w:val="21"/>
          <w:szCs w:val="21"/>
        </w:rPr>
        <w:t xml:space="preserve">policy-dependent moat</w:t>
      </w:r>
      <w:r>
        <w:rPr>
          <w:sz w:val="21"/>
          <w:szCs w:val="21"/>
        </w:rPr>
        <w:t xml:space="preserve">).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#5/#6 Profit margin and its trend — MIXED/NEGATIVE.</w:t>
      </w:r>
      <w:r>
        <w:rPr>
          <w:sz w:val="21"/>
          <w:szCs w:val="21"/>
        </w:rPr>
        <w:t xml:space="preserve"> Consolidated GAAP gross margin fell for four straight years (14.2% → 10.2%). Adjusted margins recovered in 2026 (EBIT-adj 8.9% H1 vs 7.2%), driven by pricing discipline, warranty and cost. Management is clearly working on margins (EV capacity cuts, onshoring), but the absolute margin is thin for a Fisher-quality 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#11 Competitive edge — POSITIVE but narrow.</w:t>
      </w:r>
      <w:r>
        <w:rPr>
          <w:sz w:val="21"/>
          <w:szCs w:val="21"/>
        </w:rPr>
        <w:t xml:space="preserve"> Full-size truck/SUV leadership (42%+) is the one clear edge. Super Cruise (30–40% attach) is a credible software edge versus Ford and Stellantis.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#13 Equity financing need — POSITIVE.</w:t>
      </w:r>
      <w:r>
        <w:rPr>
          <w:sz w:val="21"/>
          <w:szCs w:val="21"/>
        </w:rPr>
        <w:t xml:space="preserve"> No equity needs. The share count is down ~40% since FY22, and automotive is net-cash.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#14 Candor in bad times — POSITIVE.</w:t>
      </w:r>
      <w:r>
        <w:rPr>
          <w:sz w:val="21"/>
          <w:szCs w:val="21"/>
        </w:rPr>
        <w:t xml:space="preserve"> EV charges were pre-announced and quantified ($10.9B total, $7.2B cash, $4.5B paid). Guidance has been raised twice while GAAP NI guidance was cut transparently.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#15 Integrity / insider behaviour — FLAG (not disqualifying).</w:t>
      </w:r>
      <w:r>
        <w:rPr>
          <w:sz w:val="21"/>
          <w:szCs w:val="21"/>
        </w:rPr>
        <w:t xml:space="preserve"> The CEO sold ~$84M in May–Jul 2026 via option exercise-and-sell, with no insider buying. That is consistent with routine compensation monetization and not evidence of concealment, but it gives zero insider-conviction signal while the company spends billions on buybacks at the same prices. Insider ownership is 0.17%.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#2/#3 Product development / R&amp;D — MIXED.</w:t>
      </w:r>
      <w:r>
        <w:rPr>
          <w:sz w:val="21"/>
          <w:szCs w:val="21"/>
        </w:rPr>
        <w:t xml:space="preserve"> The EV program ($10.9B of charges) was a very expensive misread of demand and policy. The Cruise robotaxi was a similar sunk-cost mistake (shut in Dec 2024). The ICE truck franchise is being extended well.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Fisher disqualifier test:</w:t>
      </w:r>
      <w:r>
        <w:rPr>
          <w:sz w:val="21"/>
          <w:szCs w:val="21"/>
        </w:rPr>
        <w:t xml:space="preserve"> margin erosion is present at the GAAP level, but management is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evasive. </w:t>
      </w:r>
      <w:r>
        <w:rPr>
          <w:b/>
          <w:bCs/>
          <w:sz w:val="21"/>
          <w:szCs w:val="21"/>
        </w:rPr>
        <w:t xml:space="preserve">No disqualifier.</w:t>
      </w:r>
    </w:p>
    <w:p>
      <w:pPr>
        <w:pStyle w:val="Heading2"/>
        <w:spacing w:after="120" w:before="240"/>
      </w:pPr>
      <w:r>
        <w:t xml:space="preserve">8. Ilmanen — Factor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Value — PRESENT (strong).</w:t>
      </w:r>
      <w:r>
        <w:rPr>
          <w:sz w:val="21"/>
          <w:szCs w:val="21"/>
        </w:rPr>
        <w:t xml:space="preserve"> Auto EV/EBIT ~5.0×, P/B 1.17×, P/E on 2026E adjusted EPS 6.4×, ~17% adjusted auto FCF yield, buyback yield ~10%.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Quality — ABSENT.</w:t>
      </w:r>
      <w:r>
        <w:rPr>
          <w:sz w:val="21"/>
          <w:szCs w:val="21"/>
        </w:rPr>
        <w:t xml:space="preserve"> GAAP ROE 3.2% TTM, consolidated ROIC ~6% (stockanalysis, distorted by GMF), gross margin 10%. Estimated auto ROIC of ~13% is decent but not high-quality.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Momentum — PRESENT.</w:t>
      </w:r>
      <w:r>
        <w:rPr>
          <w:sz w:val="21"/>
          <w:szCs w:val="21"/>
        </w:rPr>
        <w:t xml:space="preserve"> 12-1 month return </w:t>
      </w:r>
      <w:r>
        <w:rPr>
          <w:b/>
          <w:bCs/>
          <w:sz w:val="21"/>
          <w:szCs w:val="21"/>
        </w:rPr>
        <w:t xml:space="preserve">+48.5%</w:t>
      </w:r>
      <w:r>
        <w:rPr>
          <w:sz w:val="21"/>
          <w:szCs w:val="21"/>
        </w:rPr>
        <w:t xml:space="preserve">. Price $82.57 is above the 52-week median ($78.80) and the 200-DMA ($80.65), but </w:t>
      </w:r>
      <w:r>
        <w:rPr>
          <w:b/>
          <w:bCs/>
          <w:sz w:val="21"/>
          <w:szCs w:val="21"/>
        </w:rPr>
        <w:t xml:space="preserve">below the 50-DMA ($85.23)</w:t>
      </w:r>
      <w:r>
        <w:rPr>
          <w:sz w:val="21"/>
          <w:szCs w:val="21"/>
        </w:rPr>
        <w:t xml:space="preserve">, so momentum is rolling over short-term.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Low Beta / Defensive — ABSENT.</w:t>
      </w:r>
      <w:r>
        <w:rPr>
          <w:sz w:val="21"/>
          <w:szCs w:val="21"/>
        </w:rPr>
        <w:t xml:space="preserve"> 5y beta 1.32. 2y realized vol </w:t>
      </w:r>
      <w:r>
        <w:rPr>
          <w:b/>
          <w:bCs/>
          <w:sz w:val="21"/>
          <w:szCs w:val="21"/>
        </w:rPr>
        <w:t xml:space="preserve">35.7% vs SPY 16.5%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Overlap:</w:t>
      </w:r>
      <w:r>
        <w:rPr>
          <w:sz w:val="21"/>
          <w:szCs w:val="21"/>
        </w:rPr>
        <w:t xml:space="preserve"> value plus momentum without quality. Ilmanen's warning applies: </w:t>
      </w:r>
      <w:r>
        <w:rPr>
          <w:b/>
          <w:bCs/>
          <w:sz w:val="21"/>
          <w:szCs w:val="21"/>
        </w:rPr>
        <w:t xml:space="preserve">cheap without quality is where value traps live</w:t>
      </w:r>
      <w:r>
        <w:rPr>
          <w:sz w:val="21"/>
          <w:szCs w:val="21"/>
        </w:rPr>
        <w:t xml:space="preserve">. The trap test is whether auto margins/ROIC are deteriorating. Adjusted margins are currently improving, so it is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a trap on present data, but the quality leg is missing.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Result: 6/9 → QUALITY.</w:t>
      </w:r>
      <w:r>
        <w:rPr>
          <w:sz w:val="21"/>
          <w:szCs w:val="21"/>
        </w:rPr>
        <w:t xml:space="preserve"> Structurally that means "good business, not a compounder: trade the setup, not the franchise." The MoS Gate clears BASE, which licenses the QUALITY label at today's price. No Fisher or Penman cap applies.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Thorndike capital-allocation lens:</w:t>
      </w:r>
      <w:r>
        <w:rPr>
          <w:sz w:val="21"/>
          <w:szCs w:val="21"/>
        </w:rPr>
        <w:t xml:space="preserve"> Buybacks </w:t>
      </w:r>
      <w:r>
        <w:rPr>
          <w:b/>
          <w:bCs/>
          <w:sz w:val="21"/>
          <w:szCs w:val="21"/>
        </w:rPr>
        <w:t xml:space="preserve">A</w:t>
      </w:r>
      <w:r>
        <w:rPr>
          <w:sz w:val="21"/>
          <w:szCs w:val="21"/>
        </w:rPr>
        <w:t xml:space="preserve"> (retired ~40% of shares, mostly at $35–55). Debt </w:t>
      </w:r>
      <w:r>
        <w:rPr>
          <w:b/>
          <w:bCs/>
          <w:sz w:val="21"/>
          <w:szCs w:val="21"/>
        </w:rPr>
        <w:t xml:space="preserve">A</w:t>
      </w:r>
      <w:r>
        <w:rPr>
          <w:sz w:val="21"/>
          <w:szCs w:val="21"/>
        </w:rPr>
        <w:t xml:space="preserve"> (automotive net cash). Reinvestment </w:t>
      </w:r>
      <w:r>
        <w:rPr>
          <w:b/>
          <w:bCs/>
          <w:sz w:val="21"/>
          <w:szCs w:val="21"/>
        </w:rPr>
        <w:t xml:space="preserve">C−</w:t>
      </w:r>
      <w:r>
        <w:rPr>
          <w:sz w:val="21"/>
          <w:szCs w:val="21"/>
        </w:rPr>
        <w:t xml:space="preserve"> (EV and Cruise together cost $20B+ of written-off capital). Acquisitions </w:t>
      </w:r>
      <w:r>
        <w:rPr>
          <w:b/>
          <w:bCs/>
          <w:sz w:val="21"/>
          <w:szCs w:val="21"/>
        </w:rPr>
        <w:t xml:space="preserve">n/a</w:t>
      </w:r>
      <w:r>
        <w:rPr>
          <w:sz w:val="21"/>
          <w:szCs w:val="21"/>
        </w:rPr>
        <w:t xml:space="preserve"> (none material). This is an unusual profile: excellent at returning capital, poor at deploying it in new ventures. That argues for shareholders preferring the cash-return story over any new "moonshot".</w:t>
      </w:r>
    </w:p>
    <w:p>
      <w:pPr>
        <w:pStyle w:val="Heading2"/>
        <w:spacing w:after="120" w:before="240"/>
      </w:pPr>
      <w:r>
        <w:t xml:space="preserve">10. Sector Appendix — Consumer Discretionary (Autos), with Industrials cross-check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3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3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Market multiples use fiscal year-end prices (FY21 $58.63, FY22 $33.64, FY23 $35.92, FY24 $53.27, FY25 $81.32) and the current $82.57 for TTM (TTM = Q3-25 to Q2-26). Sources: stockanalysis.com (multiples, ROE), yfinance (statements), GM 8-Ks (adjusted figures). Consolidated figures include GM Financial, whose debt inflates EV, D/E and net debt.</w:t>
      </w:r>
    </w:p>
    <w:p>
      <w:pPr>
        <w:pStyle w:val="Heading3"/>
        <w:spacing w:after="120" w:before="240"/>
      </w:pPr>
      <w:r>
        <w:t xml:space="preserve">Base Ratio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sz w:val="20"/>
          <w:szCs w:val="20"/>
        </w:rPr>
        <w:t xml:space="preserve">FCF note: consolidated GAAP FCF (OCF − all capex, including GMF's lease-fleet purchases) was −$5.1B / −$3.7B / −$6.0B / +$1.8B for FY22–25. That is not a meaningful measure of industrial cash generation, so adjusted automotive FCF (GM's own definition) is used above. FY21 automotive FCF (~$1.9B) was depressed by the chip shortage. TTM $13.3B = FY25 $10.6B − H1-25 $3.6B + H1-26 $6.3B.</w:t>
      </w:r>
    </w:p>
    <w:p>
      <w:pPr>
        <w:pStyle w:val="Heading3"/>
        <w:spacing w:after="120" w:before="240"/>
      </w:pPr>
      <w:r>
        <w:t xml:space="preserve">Sector-Specific Ratio Table (Autos)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type="dxa" w:w="13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sz w:val="20"/>
          <w:szCs w:val="20"/>
        </w:rPr>
        <w:t xml:space="preserve">n/a = not retrieved from a verifiable source this pass. Left blank rather than estimated.</w:t>
      </w:r>
    </w:p>
    <w:p>
      <w:pPr>
        <w:pStyle w:val="Heading3"/>
        <w:spacing w:after="120" w:before="240"/>
      </w:pPr>
      <w:r>
        <w:t xml:space="preserve">Interpretation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The margin trend is the hard evidence behind the Fisher #5/#6 and Penman reads.</w:t>
      </w:r>
      <w:r>
        <w:rPr>
          <w:sz w:val="21"/>
          <w:szCs w:val="21"/>
        </w:rPr>
        <w:t xml:space="preserve"> Gross margin fell 14.2% → 10.2% and net margin 7.7% → 1.0% over the period, while EBIT-adjusted margin held at 7–9%. The spread between the two lines *is* the special-items problem from §4. Adjusted profitability has not deteriorated much, but reported profitability has collapsed, and the difference has shown up as real write-offs of shareholder capital.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Per-share growth came from the share count, not the business.</w:t>
      </w:r>
      <w:r>
        <w:rPr>
          <w:sz w:val="21"/>
          <w:szCs w:val="21"/>
        </w:rPr>
        <w:t xml:space="preserve"> EPS-adjusted rose +50% (FY22 $7.59 → TTM $12.56) while EBIT-adjusted was flat ($14.5B → $14.4B). All of the per-share growth came from retiring ~40% of the shares at low multiples. This matches the Quality screen's self-funding and buyback passes. It also caps the future: at ~$83 the buyback yield is ~10%, but each dollar retires fewer shares than at $35, and $3.5B of authorization remains.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The multiple has re-rated.</w:t>
      </w:r>
      <w:r>
        <w:rPr>
          <w:sz w:val="21"/>
          <w:szCs w:val="21"/>
        </w:rPr>
        <w:t xml:space="preserve"> P/B went 0.66× → 1.18× and P/S 0.29× → 0.40× (FY22 → TTM) with flat EBIT. Part of the "free" re-rating has already happened, which is consistent with the §6 finding that the remaining mispricing is narrower than the adjusted numbers suggest.</w:t>
      </w:r>
    </w:p>
    <w:p>
      <w:pPr>
        <w:pStyle w:val="Heading2"/>
        <w:spacing w:after="120" w:before="240"/>
      </w:pPr>
      <w:r>
        <w:t xml:space="preserve">12. Final Verdict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TICKER | Track | Category | F-Score | F-Rating | DCF Bear-Base-Bull            | MoS Gate | Compounder          | AI Impact | Horizon | Thesis Invalidation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GM     | A-CD  | Cyclical | 60      | Fair     | $68.56 / $122.04 / $156.05    | BASE     | QUALITY (cyclical)  | NEUTRAL   | 3–5yr   | GMNA EBIT-adj margin &lt; 6% for 2 consecutive quarters outside a recession, OR new special charges &gt; $2B in any 12 months after 2026, OR adj. auto FCF &lt; $7B annualized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|       |          |         |          | €60.26 / €107.27 / €137.16    |          |                     |           |         |</w:t>
      </w:r>
    </w:p>
    <w:p>
      <w:pPr>
        <w:spacing w:after="12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F-Score (Track A weights):</w:t>
      </w:r>
      <w:r>
        <w:rPr>
          <w:sz w:val="21"/>
          <w:szCs w:val="21"/>
        </w:rPr>
        <w:t xml:space="preserve"> Value 85 × 40% + Quality 45 × 40% + Growth 40 × 20% = </w:t>
      </w:r>
      <w:r>
        <w:rPr>
          <w:b/>
          <w:bCs/>
          <w:sz w:val="21"/>
          <w:szCs w:val="21"/>
        </w:rPr>
        <w:t xml:space="preserve">60 → Fair</w:t>
      </w:r>
      <w:r>
        <w:rPr>
          <w:sz w:val="21"/>
          <w:szCs w:val="21"/>
        </w:rPr>
        <w:t xml:space="preserve">, at the top of the band. Cheap on value and weak on quality/growth, which is consistent with the Ilmanen read.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AI impact: NEUTRAL.</w:t>
      </w:r>
      <w:r>
        <w:rPr>
          <w:sz w:val="21"/>
          <w:szCs w:val="21"/>
        </w:rPr>
        <w:t xml:space="preserve"> Super Cruise (hands-free ADAS, 30–40% attach, recurring subscriptions) is a modest tailwind. GM exited robotaxis (Cruise), so if Waymo/Tesla-style autonomy disintermediates car ownership over the 5–10 year horizon, GM is a hardware supplier rather than the platform. Neither effect is material inside a 3–5 year CAP.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Summary.</w:t>
      </w:r>
      <w:r>
        <w:rPr>
          <w:sz w:val="21"/>
          <w:szCs w:val="21"/>
        </w:rPr>
        <w:t xml:space="preserve"> The thesis needs one thing: </w:t>
      </w:r>
      <w:r>
        <w:rPr>
          <w:b/>
          <w:bCs/>
          <w:sz w:val="21"/>
          <w:szCs w:val="21"/>
        </w:rPr>
        <w:t xml:space="preserve">GM's adjusted earnings have to become its real earnings.</w:t>
      </w:r>
      <w:r>
        <w:rPr>
          <w:sz w:val="21"/>
          <w:szCs w:val="21"/>
        </w:rPr>
        <w:t xml:space="preserve"> The EV and China resets must actually be the last big ones, tariff costs must fall with 2027 onshoring, and the truck franchise must hold ~40%+ share at disciplined pricing. If that happens, the ~3.6% margin implied by the market is too low and the Base value of ~$122 (€107) is reachable, helped by a buyback that shrinks the share count ~8–10% a year. The </w:t>
      </w:r>
      <w:r>
        <w:rPr>
          <w:b/>
          <w:bCs/>
          <w:sz w:val="21"/>
          <w:szCs w:val="21"/>
        </w:rPr>
        <w:t xml:space="preserve">single biggest risk</w:t>
      </w:r>
      <w:r>
        <w:rPr>
          <w:sz w:val="21"/>
          <w:szCs w:val="21"/>
        </w:rPr>
        <w:t xml:space="preserve"> is cyclical and macro, not company-specific: 10Y at 5.09% plus rising GM Financial delinquencies (3.4%, +0.5pp YoY) point to worsening auto affordability. Oil is up ~40% in 3 months (USO), which threatens the full-size truck/SUV mix that produces ~87% of profit. A GMNA downturn would push margins toward the 3.5% Bear case, where the stock is worth ~$69 (€60). </w:t>
      </w:r>
      <w:r>
        <w:rPr>
          <w:b/>
          <w:bCs/>
          <w:sz w:val="21"/>
          <w:szCs w:val="21"/>
        </w:rPr>
        <w:t xml:space="preserve">What would change the verdict most:</w:t>
      </w:r>
      <w:r>
        <w:rPr>
          <w:sz w:val="21"/>
          <w:szCs w:val="21"/>
        </w:rPr>
        <w:t xml:space="preserve"> the Q3-26 print on </w:t>
      </w:r>
      <w:r>
        <w:rPr>
          <w:b/>
          <w:bCs/>
          <w:sz w:val="21"/>
          <w:szCs w:val="21"/>
        </w:rPr>
        <w:t xml:space="preserve">Oct 20, 2026</w:t>
      </w:r>
      <w:r>
        <w:rPr>
          <w:sz w:val="21"/>
          <w:szCs w:val="21"/>
        </w:rPr>
        <w:t xml:space="preserve">. A GMNA margin ≥ 8.5% with no new special charge would confirm the adjusted base. Another multi-billion "one-time" charge would make the Bear margin the right anchor and cut the label to TRADE ONLY.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Personal long-term analysis produced by long-term-analyst.md (Deep-Dive Mode). Figures sourced and dated. Where a figure could not be verified it is marked n/a or labelled as an estimate. No position size or trade is recommended; thesis invalidation is the only exit trigger this framework uses. In my opinion, this is not financial advice, just my 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2026-09-24T14:31:01.926Z</dcterms:created>
  <dcterms:modified xsi:type="dcterms:W3CDTF">2026-09-24T14:31:01.927Z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