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ICHR — Ichor Holdings, Ltd. — Long-Term Deep-Dive</w:t>
      </w:r>
    </w:p>
    <w:p>
      <w:r>
        <w:t xml:space="preserve">Date: 2026-09-25 | Price: $56.47 / €49.58 (close Sept 24, 2026; EUR/USD 1.139) | Shares out: ~37.45M | Market cap: ~$2.11B / €1.85B | Cash $256.5M / debt $120.6M (Jun 26, 2026) → net cash ~$136M | Next earnings: Q3-26, ~Nov 2, 2026</w:t>
      </w:r>
    </w:p>
    <w:p>
      <w:r>
        <w:t xml:space="preserve">[FUNDAMENTAL DATA MISSING — ICHR is not in ./data/fundamental_data.json. Figures come from Ichor's Q2-26 8-K (Aug 3, 2026), the Q2 call, the FY25 10-K, the May 2026 ATM filings and yfinance, each dated where used.]</w:t>
      </w:r>
    </w:p>
    <w:p>
      <w:r>
        <w:rPr>
          <w:b/>
          <w:bCs/>
        </w:rPr>
        <w:t xml:space="preserve">Macro backdrop</w:t>
      </w:r>
      <w:r>
        <w:t xml:space="preserve"> (from macro_report_2026-09-24):</w:t>
      </w:r>
    </w:p>
    <w:p>
      <w:pPr>
        <w:pStyle w:val="ListParagraph"/>
        <w:numPr>
          <w:ilvl w:val="0"/>
          <w:numId w:val="1"/>
        </w:numPr>
      </w:pPr>
      <w:r>
        <w:t xml:space="preserve">REFLATION, HIGH confidence. 10Y 5.14%.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Semis/AI infrastructure is at Kindleberger Stage 3 (Euphoria), checklist 7/7, with Stage-4 risk.</w:t>
      </w:r>
      <w:r>
        <w:t xml:space="preserve"> Minsky 7/7.</w:t>
      </w:r>
    </w:p>
    <w:p>
      <w:pPr>
        <w:pStyle w:val="ListParagraph"/>
        <w:numPr>
          <w:ilvl w:val="0"/>
          <w:numId w:val="1"/>
        </w:numPr>
      </w:pPr>
      <w:r>
        <w:t xml:space="preserve">Late cycle, with the CYCLE OVERRIDE active.</w:t>
      </w:r>
    </w:p>
    <w:p>
      <w:pPr>
        <w:pStyle w:val="ListParagraph"/>
        <w:numPr>
          <w:ilvl w:val="0"/>
          <w:numId w:val="1"/>
        </w:numPr>
      </w:pPr>
      <w:r>
        <w:t xml:space="preserve">A high-beta, cyclical semi-cap supplier in this regime needs to clear an unusually high bar.</w:t>
      </w:r>
    </w:p>
    <w:p>
      <w:r>
        <w:rPr>
          <w:b/>
          <w:bCs/>
        </w:rPr>
        <w:t xml:space="preserve">Bottom line up front: TRADE ONLY, MoS Gate NONE (price above the Bull case).</w:t>
      </w:r>
    </w:p>
    <w:p>
      <w:pPr>
        <w:pStyle w:val="ListParagraph"/>
        <w:numPr>
          <w:ilvl w:val="0"/>
          <w:numId w:val="1"/>
        </w:numPr>
      </w:pPr>
      <w:r>
        <w:t xml:space="preserve">$56.47 is above even the Bull DCF value ($43.01 / €37.76). Base is $26.87 / €23.59 and Bear is $13.03 / €11.44.</w:t>
      </w:r>
    </w:p>
    <w:p>
      <w:pPr>
        <w:pStyle w:val="ListParagraph"/>
        <w:numPr>
          <w:ilvl w:val="0"/>
          <w:numId w:val="1"/>
        </w:numPr>
      </w:pPr>
      <w:r>
        <w:t xml:space="preserve">The price requires a steady EBIT margin of ~16% at an 11.5% WACC. That is </w:t>
      </w:r>
      <w:r>
        <w:rPr>
          <w:b/>
          <w:bCs/>
        </w:rPr>
        <w:t xml:space="preserve">~2.4× Ichor's best-ever operating margin</w:t>
      </w:r>
      <w:r>
        <w:t xml:space="preserve"> (6.7%, FY22) and well above management's own target, 20% *gross* margin, which implies ~9–10% EBIT.</w:t>
      </w:r>
    </w:p>
    <w:p>
      <w:pPr>
        <w:pStyle w:val="ListParagraph"/>
        <w:numPr>
          <w:ilvl w:val="0"/>
          <w:numId w:val="1"/>
        </w:numPr>
      </w:pPr>
      <w:r>
        <w:t xml:space="preserve">The fundamentals are inflecting from a trough:</w:t>
      </w:r>
    </w:p>
    <w:p>
      <w:r>
        <w:t xml:space="preserve">  - Revenue +23% YoY.</w:t>
      </w:r>
    </w:p>
    <w:p>
      <w:r>
        <w:t xml:space="preserve">  - Gross margin up from 9.3% (FY25) to 14.1% (Q2-26).</w:t>
      </w:r>
    </w:p>
    <w:p>
      <w:r>
        <w:t xml:space="preserve">  - Guidance of ≥30% FY26 growth.</w:t>
      </w:r>
    </w:p>
    <w:p>
      <w:pPr>
        <w:pStyle w:val="ListParagraph"/>
        <w:numPr>
          <w:ilvl w:val="0"/>
          <w:numId w:val="1"/>
        </w:numPr>
      </w:pPr>
      <w:r>
        <w:t xml:space="preserve">But this is contract-manufacturing economics:</w:t>
      </w:r>
    </w:p>
    <w:p>
      <w:r>
        <w:t xml:space="preserve">  - Two customers are 76% of sales.</w:t>
      </w:r>
    </w:p>
    <w:p>
      <w:r>
        <w:t xml:space="preserve">  - Operating cash flow is negative until H1-27.</w:t>
      </w:r>
    </w:p>
    <w:p>
      <w:r>
        <w:t xml:space="preserve">  - The share count is up ~30% since FY22.</w:t>
      </w:r>
    </w:p>
    <w:p>
      <w:pPr>
        <w:pStyle w:val="ListParagraph"/>
        <w:numPr>
          <w:ilvl w:val="0"/>
          <w:numId w:val="1"/>
        </w:numPr>
      </w:pPr>
      <w:r>
        <w:t xml:space="preserve">There is no structural floor. This is a name for the short-term technical agents, not a long-term hold.</w:t>
      </w:r>
    </w:p>
    <w:p>
      <w:pPr>
        <w:pStyle w:val="Heading2"/>
        <w:spacing w:after="120" w:before="240"/>
      </w:pPr>
      <w:r>
        <w:t xml:space="preserve">0. Recent Context</w:t>
      </w:r>
    </w:p>
    <w:p>
      <w:r>
        <w:rPr>
          <w:b/>
          <w:bCs/>
        </w:rPr>
        <w:t xml:space="preserve">Last reported quarter: Q2-26, reported Aug 3, 2026</w:t>
      </w:r>
      <w:r>
        <w:t xml:space="preserve"> (source: Ichor 8-K/press release; Q2 call)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Q2-26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Q1-26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Q2-25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QoQ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YoY</w:t>
            </w:r>
          </w:p>
        </w:tc>
      </w:tr>
      <w:tr>
        <w:tc>
          <w:tcPr>
            <w:tcW w:type="dxa" w:w="1800"/>
          </w:tcPr>
          <w:p>
            <w:r>
              <w:t xml:space="preserve">Revenue</w:t>
            </w:r>
          </w:p>
        </w:tc>
        <w:tc>
          <w:tcPr>
            <w:tcW w:type="dxa" w:w="1800"/>
          </w:tcPr>
          <w:p>
            <w:r>
              <w:t xml:space="preserve">$294.8M</w:t>
            </w:r>
          </w:p>
        </w:tc>
        <w:tc>
          <w:tcPr>
            <w:tcW w:type="dxa" w:w="1800"/>
          </w:tcPr>
          <w:p>
            <w:r>
              <w:t xml:space="preserve">$256.1M</w:t>
            </w:r>
          </w:p>
        </w:tc>
        <w:tc>
          <w:tcPr>
            <w:tcW w:type="dxa" w:w="1800"/>
          </w:tcPr>
          <w:p>
            <w:r>
              <w:t xml:space="preserve">$240.3M</w:t>
            </w:r>
          </w:p>
        </w:tc>
        <w:tc>
          <w:tcPr>
            <w:tcW w:type="dxa" w:w="1800"/>
          </w:tcPr>
          <w:p>
            <w:r>
              <w:t xml:space="preserve">+15.1%</w:t>
            </w:r>
          </w:p>
        </w:tc>
        <w:tc>
          <w:tcPr>
            <w:tcW w:type="dxa" w:w="1800"/>
          </w:tcPr>
          <w:p>
            <w:r>
              <w:t xml:space="preserve">+22.7%</w:t>
            </w:r>
          </w:p>
        </w:tc>
      </w:tr>
      <w:tr>
        <w:tc>
          <w:tcPr>
            <w:tcW w:type="dxa" w:w="1800"/>
          </w:tcPr>
          <w:p>
            <w:r>
              <w:t xml:space="preserve">GAAP gross margin</w:t>
            </w:r>
          </w:p>
        </w:tc>
        <w:tc>
          <w:tcPr>
            <w:tcW w:type="dxa" w:w="1800"/>
          </w:tcPr>
          <w:p>
            <w:r>
              <w:t xml:space="preserve">13.9%</w:t>
            </w:r>
          </w:p>
        </w:tc>
        <w:tc>
          <w:tcPr>
            <w:tcW w:type="dxa" w:w="1800"/>
          </w:tcPr>
          <w:p>
            <w:r>
              <w:t xml:space="preserve">12.6%</w:t>
            </w:r>
          </w:p>
        </w:tc>
        <w:tc>
          <w:tcPr>
            <w:tcW w:type="dxa" w:w="1800"/>
          </w:tcPr>
          <w:p>
            <w:r>
              <w:t xml:space="preserve">11.3%</w:t>
            </w:r>
          </w:p>
        </w:tc>
        <w:tc>
          <w:tcPr>
            <w:tcW w:type="dxa" w:w="1800"/>
          </w:tcPr>
          <w:p>
            <w:r>
              <w:t xml:space="preserve">+1.3pp</w:t>
            </w:r>
          </w:p>
        </w:tc>
        <w:tc>
          <w:tcPr>
            <w:tcW w:type="dxa" w:w="1800"/>
          </w:tcPr>
          <w:p>
            <w:r>
              <w:t xml:space="preserve">+2.6pp</w:t>
            </w:r>
          </w:p>
        </w:tc>
      </w:tr>
      <w:tr>
        <w:tc>
          <w:tcPr>
            <w:tcW w:type="dxa" w:w="1800"/>
          </w:tcPr>
          <w:p>
            <w:r>
              <w:t xml:space="preserve">Non-GAAP gross margin</w:t>
            </w:r>
          </w:p>
        </w:tc>
        <w:tc>
          <w:tcPr>
            <w:tcW w:type="dxa" w:w="1800"/>
          </w:tcPr>
          <w:p>
            <w:r>
              <w:t xml:space="preserve">14.1%</w:t>
            </w:r>
          </w:p>
        </w:tc>
        <w:tc>
          <w:tcPr>
            <w:tcW w:type="dxa" w:w="1800"/>
          </w:tcPr>
          <w:p>
            <w:r>
              <w:t xml:space="preserve">12.8%</w:t>
            </w:r>
          </w:p>
        </w:tc>
        <w:tc>
          <w:tcPr>
            <w:tcW w:type="dxa" w:w="1800"/>
          </w:tcPr>
          <w:p>
            <w:r>
              <w:t xml:space="preserve">11.8%</w:t>
            </w:r>
          </w:p>
        </w:tc>
        <w:tc>
          <w:tcPr>
            <w:tcW w:type="dxa" w:w="1800"/>
          </w:tcPr>
          <w:p>
            <w:r>
              <w:t xml:space="preserve">+1.3pp</w:t>
            </w:r>
          </w:p>
        </w:tc>
        <w:tc>
          <w:tcPr>
            <w:tcW w:type="dxa" w:w="1800"/>
          </w:tcPr>
          <w:p>
            <w:r>
              <w:t xml:space="preserve">+2.3pp</w:t>
            </w:r>
          </w:p>
        </w:tc>
      </w:tr>
      <w:tr>
        <w:tc>
          <w:tcPr>
            <w:tcW w:type="dxa" w:w="1800"/>
          </w:tcPr>
          <w:p>
            <w:r>
              <w:t xml:space="preserve">GAAP operating income</w:t>
            </w:r>
          </w:p>
        </w:tc>
        <w:tc>
          <w:tcPr>
            <w:tcW w:type="dxa" w:w="1800"/>
          </w:tcPr>
          <w:p>
            <w:r>
              <w:t xml:space="preserve">$7.2M</w:t>
            </w:r>
          </w:p>
        </w:tc>
        <w:tc>
          <w:tcPr>
            <w:tcW w:type="dxa" w:w="1800"/>
          </w:tcPr>
          <w:p>
            <w:r>
              <w:t xml:space="preserve">$2.1M</w:t>
            </w:r>
          </w:p>
        </w:tc>
        <w:tc>
          <w:tcPr>
            <w:tcW w:type="dxa" w:w="1800"/>
          </w:tcPr>
          <w:p>
            <w:r>
              <w:t xml:space="preserve">($4.8M)</w:t>
            </w:r>
          </w:p>
        </w:tc>
        <w:tc>
          <w:tcPr>
            <w:tcW w:type="dxa" w:w="1800"/>
          </w:tcPr>
          <w:p>
            <w:r>
              <w:t xml:space="preserve">+$5.1M</w:t>
            </w:r>
          </w:p>
        </w:tc>
        <w:tc>
          <w:tcPr>
            <w:tcW w:type="dxa" w:w="1800"/>
          </w:tcPr>
          <w:p>
            <w:r>
              <w:t xml:space="preserve">+$12.0M</w:t>
            </w:r>
          </w:p>
        </w:tc>
      </w:tr>
      <w:tr>
        <w:tc>
          <w:tcPr>
            <w:tcW w:type="dxa" w:w="1800"/>
          </w:tcPr>
          <w:p>
            <w:r>
              <w:t xml:space="preserve">Non-GAAP operating income</w:t>
            </w:r>
          </w:p>
        </w:tc>
        <w:tc>
          <w:tcPr>
            <w:tcW w:type="dxa" w:w="1800"/>
          </w:tcPr>
          <w:p>
            <w:r>
              <w:t xml:space="preserve">$16.3M</w:t>
            </w:r>
          </w:p>
        </w:tc>
        <w:tc>
          <w:tcPr>
            <w:tcW w:type="dxa" w:w="1800"/>
          </w:tcPr>
          <w:p>
            <w:r>
              <w:t xml:space="preserve">$8.7M</w:t>
            </w:r>
          </w:p>
        </w:tc>
        <w:tc>
          <w:tcPr>
            <w:tcW w:type="dxa" w:w="1800"/>
          </w:tcPr>
          <w:p>
            <w:r>
              <w:t xml:space="preserve">$4.6M</w:t>
            </w:r>
          </w:p>
        </w:tc>
        <w:tc>
          <w:tcPr>
            <w:tcW w:type="dxa" w:w="1800"/>
          </w:tcPr>
          <w:p>
            <w:r>
              <w:t xml:space="preserve">+87%</w:t>
            </w:r>
          </w:p>
        </w:tc>
        <w:tc>
          <w:tcPr>
            <w:tcW w:type="dxa" w:w="1800"/>
          </w:tcPr>
          <w:p>
            <w:r>
              <w:t xml:space="preserve">+254%</w:t>
            </w:r>
          </w:p>
        </w:tc>
      </w:tr>
      <w:tr>
        <w:tc>
          <w:tcPr>
            <w:tcW w:type="dxa" w:w="1800"/>
          </w:tcPr>
          <w:p>
            <w:r>
              <w:t xml:space="preserve">GAAP net income</w:t>
            </w:r>
          </w:p>
        </w:tc>
        <w:tc>
          <w:tcPr>
            <w:tcW w:type="dxa" w:w="1800"/>
          </w:tcPr>
          <w:p>
            <w:r>
              <w:t xml:space="preserve">$1.0M</w:t>
            </w:r>
          </w:p>
        </w:tc>
        <w:tc>
          <w:tcPr>
            <w:tcW w:type="dxa" w:w="1800"/>
          </w:tcPr>
          <w:p>
            <w:r>
              <w:t xml:space="preserve">($2.5M)</w:t>
            </w:r>
          </w:p>
        </w:tc>
        <w:tc>
          <w:tcPr>
            <w:tcW w:type="dxa" w:w="1800"/>
          </w:tcPr>
          <w:p>
            <w:r>
              <w:t xml:space="preserve">($9.4M)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</w:tr>
      <w:tr>
        <w:tc>
          <w:tcPr>
            <w:tcW w:type="dxa" w:w="1800"/>
          </w:tcPr>
          <w:p>
            <w:r>
              <w:t xml:space="preserve">GAAP EPS / non-GAAP EPS</w:t>
            </w:r>
          </w:p>
        </w:tc>
        <w:tc>
          <w:tcPr>
            <w:tcW w:type="dxa" w:w="1800"/>
          </w:tcPr>
          <w:p>
            <w:r>
              <w:t xml:space="preserve">$0.03 / $0.34</w:t>
            </w:r>
          </w:p>
        </w:tc>
        <w:tc>
          <w:tcPr>
            <w:tcW w:type="dxa" w:w="1800"/>
          </w:tcPr>
          <w:p>
            <w:r>
              <w:t xml:space="preserve">($0.07) / $0.15</w:t>
            </w:r>
          </w:p>
        </w:tc>
        <w:tc>
          <w:tcPr>
            <w:tcW w:type="dxa" w:w="1800"/>
          </w:tcPr>
          <w:p>
            <w:r>
              <w:t xml:space="preserve">($0.28) / ($0.01)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</w:tr>
      <w:tr>
        <w:tc>
          <w:tcPr>
            <w:tcW w:type="dxa" w:w="1800"/>
          </w:tcPr>
          <w:p>
            <w:r>
              <w:t xml:space="preserve">Operating cash flow</w:t>
            </w:r>
          </w:p>
        </w:tc>
        <w:tc>
          <w:tcPr>
            <w:tcW w:type="dxa" w:w="1800"/>
          </w:tcPr>
          <w:p>
            <w:r>
              <w:t xml:space="preserve">($15.9M)</w:t>
            </w:r>
          </w:p>
        </w:tc>
        <w:tc>
          <w:tcPr>
            <w:tcW w:type="dxa" w:w="1800"/>
          </w:tcPr>
          <w:p>
            <w:r>
              <w:t xml:space="preserve">($2.9M)</w:t>
            </w:r>
          </w:p>
        </w:tc>
        <w:tc>
          <w:tcPr>
            <w:tcW w:type="dxa" w:w="1800"/>
          </w:tcPr>
          <w:p>
            <w:r>
              <w:t xml:space="preserve">($7.5M)</w:t>
            </w:r>
          </w:p>
        </w:tc>
        <w:tc>
          <w:tcPr>
            <w:tcW w:type="dxa" w:w="1800"/>
          </w:tcPr>
          <w:p>
            <w:r>
              <w:t xml:space="preserve">worse</w:t>
            </w:r>
          </w:p>
        </w:tc>
        <w:tc>
          <w:tcPr>
            <w:tcW w:type="dxa" w:w="1800"/>
          </w:tcPr>
          <w:p>
            <w:r>
              <w:t xml:space="preserve">worse</w:t>
            </w:r>
          </w:p>
        </w:tc>
      </w:tr>
      <w:tr>
        <w:tc>
          <w:tcPr>
            <w:tcW w:type="dxa" w:w="1800"/>
          </w:tcPr>
          <w:p>
            <w:r>
              <w:t xml:space="preserve">CapEx</w:t>
            </w:r>
          </w:p>
        </w:tc>
        <w:tc>
          <w:tcPr>
            <w:tcW w:type="dxa" w:w="1800"/>
          </w:tcPr>
          <w:p>
            <w:r>
              <w:t xml:space="preserve">$7.8M</w:t>
            </w:r>
          </w:p>
        </w:tc>
        <w:tc>
          <w:tcPr>
            <w:tcW w:type="dxa" w:w="1800"/>
          </w:tcPr>
          <w:p>
            <w:r>
              <w:t xml:space="preserve">$7.1M</w:t>
            </w:r>
          </w:p>
        </w:tc>
        <w:tc>
          <w:tcPr>
            <w:tcW w:type="dxa" w:w="1800"/>
          </w:tcPr>
          <w:p>
            <w:r>
              <w:t xml:space="preserve">$7.3M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</w:tr>
      <w:tr>
        <w:tc>
          <w:tcPr>
            <w:tcW w:type="dxa" w:w="1800"/>
          </w:tcPr>
          <w:p>
            <w:r>
              <w:t xml:space="preserve">Diluted shares</w:t>
            </w:r>
          </w:p>
        </w:tc>
        <w:tc>
          <w:tcPr>
            <w:tcW w:type="dxa" w:w="1800"/>
          </w:tcPr>
          <w:p>
            <w:r>
              <w:t xml:space="preserve">36.3M</w:t>
            </w:r>
          </w:p>
        </w:tc>
        <w:tc>
          <w:tcPr>
            <w:tcW w:type="dxa" w:w="1800"/>
          </w:tcPr>
          <w:p>
            <w:r>
              <w:t xml:space="preserve">35.3M</w:t>
            </w:r>
          </w:p>
        </w:tc>
        <w:tc>
          <w:tcPr>
            <w:tcW w:type="dxa" w:w="1800"/>
          </w:tcPr>
          <w:p>
            <w:r>
              <w:t xml:space="preserve">34.2M</w:t>
            </w:r>
          </w:p>
        </w:tc>
        <w:tc>
          <w:tcPr>
            <w:tcW w:type="dxa" w:w="1800"/>
          </w:tcPr>
          <w:p>
            <w:r>
              <w:t xml:space="preserve">+2.8%</w:t>
            </w:r>
          </w:p>
        </w:tc>
        <w:tc>
          <w:tcPr>
            <w:tcW w:type="dxa" w:w="1800"/>
          </w:tcPr>
          <w:p>
            <w:r>
              <w:t xml:space="preserve">+6.1%</w:t>
            </w:r>
          </w:p>
        </w:tc>
      </w:tr>
    </w:tbl>
    <w:p>
      <w:r>
        <w:t xml:space="preserve">Against consensus: revenue $294.8M vs $268.2M (+9.9%). Non-GAAP EPS $0.34 vs $0.31 (+9.7%).</w:t>
      </w:r>
    </w:p>
    <w:p>
      <w:r>
        <w:rPr>
          <w:b/>
          <w:bCs/>
        </w:rPr>
        <w:t xml:space="preserve">Q3-26 guidance:</w:t>
      </w:r>
    </w:p>
    <w:p>
      <w:pPr>
        <w:pStyle w:val="ListParagraph"/>
        <w:numPr>
          <w:ilvl w:val="0"/>
          <w:numId w:val="1"/>
        </w:numPr>
      </w:pPr>
      <w:r>
        <w:t xml:space="preserve">Revenue $315–345M (midpoint $330M, +12% QoQ, +38% YoY vs Q3-25's $239.3M).</w:t>
      </w:r>
    </w:p>
    <w:p>
      <w:pPr>
        <w:pStyle w:val="ListParagraph"/>
        <w:numPr>
          <w:ilvl w:val="0"/>
          <w:numId w:val="1"/>
        </w:numPr>
      </w:pPr>
      <w:r>
        <w:t xml:space="preserve">GM 14.5–15.5%.</w:t>
      </w:r>
    </w:p>
    <w:p>
      <w:pPr>
        <w:pStyle w:val="ListParagraph"/>
        <w:numPr>
          <w:ilvl w:val="0"/>
          <w:numId w:val="1"/>
        </w:numPr>
      </w:pPr>
      <w:r>
        <w:t xml:space="preserve">GAAP EPS $0.25–0.35; non-GAAP EPS $0.40–0.50.</w:t>
      </w:r>
    </w:p>
    <w:p>
      <w:r>
        <w:rPr>
          <w:b/>
          <w:bCs/>
        </w:rPr>
        <w:t xml:space="preserve">FY26 outlook:</w:t>
      </w:r>
    </w:p>
    <w:p>
      <w:pPr>
        <w:pStyle w:val="ListParagraph"/>
        <w:numPr>
          <w:ilvl w:val="0"/>
          <w:numId w:val="1"/>
        </w:numPr>
      </w:pPr>
      <w:r>
        <w:t xml:space="preserve">Revenue growth ≥30% vs FY25 ($947.7M) → ≥$1.23B, "in alignment with the high end of WFE expectations".</w:t>
      </w:r>
    </w:p>
    <w:p>
      <w:pPr>
        <w:pStyle w:val="ListParagraph"/>
        <w:numPr>
          <w:ilvl w:val="0"/>
          <w:numId w:val="1"/>
        </w:numPr>
      </w:pPr>
      <w:r>
        <w:t xml:space="preserve">Operating cash flow positive only in </w:t>
      </w:r>
      <w:r>
        <w:rPr>
          <w:b/>
          <w:bCs/>
        </w:rPr>
        <w:t xml:space="preserve">H1-27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Capacity supports ~$2B/yr today; targeting $3B with investment.</w:t>
      </w:r>
    </w:p>
    <w:p>
      <w:r>
        <w:rPr>
          <w:b/>
          <w:bCs/>
        </w:rPr>
        <w:t xml:space="preserve">Key sector metric (semi-cap subsystem: gross margin and proprietary content):</w:t>
      </w:r>
    </w:p>
    <w:p>
      <w:pPr>
        <w:pStyle w:val="ListParagraph"/>
        <w:numPr>
          <w:ilvl w:val="0"/>
          <w:numId w:val="1"/>
        </w:numPr>
      </w:pPr>
      <w:r>
        <w:t xml:space="preserve">Management targets ~30% internally manufactured (proprietary) content by the Q3 exit and 35% by Q4, plus the Malaysia ramp, with a path to </w:t>
      </w:r>
      <w:r>
        <w:rPr>
          <w:b/>
          <w:bCs/>
        </w:rPr>
        <w:t xml:space="preserve">20% gross margin</w:t>
      </w:r>
      <w:r>
        <w:t xml:space="preserve">.</w:t>
      </w:r>
    </w:p>
    <w:p>
      <w:r>
        <w:rPr>
          <w:b/>
          <w:bCs/>
        </w:rPr>
        <w:t xml:space="preserve">CEO commentary</w:t>
      </w:r>
      <w:r>
        <w:t xml:space="preserve"> (Phil Barros): "Revenues of $295 million increased 15% sequentially, and the additional growth we had forecast for Q2 has already been achieved to date in Q3."</w:t>
      </w:r>
    </w:p>
    <w:p>
      <w:r>
        <w:rPr>
          <w:b/>
          <w:bCs/>
        </w:rPr>
        <w:t xml:space="preserve">Recent news (trailing ~90–120 days):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May 18, 2026:</w:t>
      </w:r>
      <w:r>
        <w:t xml:space="preserve"> $200M at-the-market (ATM) equity program launched. During Q2, </w:t>
      </w:r>
      <w:r>
        <w:rPr>
          <w:b/>
          <w:bCs/>
        </w:rPr>
        <w:t xml:space="preserve">2.5M shares were sold at an average $80.70, raising $195.4M net</w:t>
      </w:r>
      <w:r>
        <w:t xml:space="preserve"> (≈7% dilution). Proceeds went to repay the term loan and for general purposes including capex and M&amp;A.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Aug 3, 2026:</w:t>
      </w:r>
      <w:r>
        <w:t xml:space="preserve"> the stock closed +6.6% at $80.25 on the day, then fell </w:t>
      </w:r>
      <w:r>
        <w:rPr>
          <w:b/>
          <w:bCs/>
        </w:rPr>
        <w:t xml:space="preserve">−12.8% after hours to $69.94</w:t>
      </w:r>
      <w:r>
        <w:t xml:space="preserve">, on the outlook and cash-flow profile (negative OCF, delayed profitability).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Customer concentration (FY25 10-K):</w:t>
      </w:r>
      <w:r>
        <w:t xml:space="preserve"> Lam Research + Applied Materials = </w:t>
      </w:r>
      <w:r>
        <w:rPr>
          <w:b/>
          <w:bCs/>
        </w:rPr>
        <w:t xml:space="preserve">76% of FY25 sales</w:t>
      </w:r>
      <w:r>
        <w:t xml:space="preserve">, up from 73% in FY24.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Consensus (yfinance):</w:t>
      </w:r>
      <w:r>
        <w:t xml:space="preserve"> Strong Buy, 7 analysts, mean target $95.86 (+70% vs $56.47).</w:t>
      </w:r>
    </w:p>
    <w:p>
      <w:r>
        <w:rPr>
          <w:b/>
          <w:bCs/>
        </w:rPr>
        <w:t xml:space="preserve">Price:</w:t>
      </w:r>
      <w:r>
        <w:t xml:space="preserve"> 52-week range $14.06–$113.58. $56.47 is 50.3% below the high and +302% above the low. It is +210% over the 12-1 month window but −41% over 3 months. It sits at the 200-day average ($56.67).</w:t>
      </w:r>
    </w:p>
    <w:p>
      <w:pPr>
        <w:pStyle w:val="Heading2"/>
        <w:spacing w:after="120" w:before="240"/>
      </w:pPr>
      <w:r>
        <w:t xml:space="preserve">1. Business Overview</w:t>
      </w:r>
    </w:p>
    <w:p>
      <w:r>
        <w:rPr>
          <w:b/>
          <w:bCs/>
        </w:rPr>
        <w:t xml:space="preserve">Segments:</w:t>
      </w:r>
    </w:p>
    <w:p>
      <w:pPr>
        <w:pStyle w:val="ListParagraph"/>
        <w:numPr>
          <w:ilvl w:val="0"/>
          <w:numId w:val="1"/>
        </w:numPr>
      </w:pPr>
      <w:r>
        <w:t xml:space="preserve">Ichor reports as essentially </w:t>
      </w:r>
      <w:r>
        <w:rPr>
          <w:b/>
          <w:bCs/>
        </w:rPr>
        <w:t xml:space="preserve">one segment</w:t>
      </w:r>
      <w:r>
        <w:t xml:space="preserve">: fluid-delivery subsystems for semiconductor capital equipment.</w:t>
      </w:r>
    </w:p>
    <w:p>
      <w:pPr>
        <w:pStyle w:val="ListParagraph"/>
        <w:numPr>
          <w:ilvl w:val="0"/>
          <w:numId w:val="1"/>
        </w:numPr>
      </w:pPr>
      <w:r>
        <w:t xml:space="preserve">Products: gas and chemical delivery systems, weldments, precision-machined and plastic components.</w:t>
      </w:r>
    </w:p>
    <w:p>
      <w:pPr>
        <w:pStyle w:val="ListParagraph"/>
        <w:numPr>
          <w:ilvl w:val="0"/>
          <w:numId w:val="1"/>
        </w:numPr>
      </w:pPr>
      <w:r>
        <w:t xml:space="preserve">Small defence/aerospace and medical adjacencies are not broken out as reportable segments. No breakdown is forced.</w:t>
      </w:r>
    </w:p>
    <w:p>
      <w:r>
        <w:rPr>
          <w:b/>
          <w:bCs/>
        </w:rPr>
        <w:t xml:space="preserve">Principal markets:</w:t>
      </w:r>
    </w:p>
    <w:p>
      <w:pPr>
        <w:pStyle w:val="ListParagraph"/>
        <w:numPr>
          <w:ilvl w:val="0"/>
          <w:numId w:val="1"/>
        </w:numPr>
      </w:pPr>
      <w:r>
        <w:t xml:space="preserve">Customers are wafer-fab equipment OEMs, chiefly Lam Research and Applied Materials (76% combined, FY25). The subsystems go into etch and deposition tools.</w:t>
      </w:r>
    </w:p>
    <w:p>
      <w:pPr>
        <w:pStyle w:val="ListParagraph"/>
        <w:numPr>
          <w:ilvl w:val="0"/>
          <w:numId w:val="1"/>
        </w:numPr>
      </w:pPr>
      <w:r>
        <w:t xml:space="preserve">Operations span the US, Singapore, Malaysia, Korea, Mexico and the UK.</w:t>
      </w:r>
    </w:p>
    <w:p>
      <w:pPr>
        <w:pStyle w:val="ListParagraph"/>
        <w:numPr>
          <w:ilvl w:val="0"/>
          <w:numId w:val="1"/>
        </w:numPr>
      </w:pPr>
      <w:r>
        <w:t xml:space="preserve">Competitors: Ultra Clean Holdings (closest peer), OEM in-house manufacturing, and regional Asian suppliers.</w:t>
      </w:r>
    </w:p>
    <w:p>
      <w:pPr>
        <w:pStyle w:val="ListParagraph"/>
        <w:numPr>
          <w:ilvl w:val="0"/>
          <w:numId w:val="1"/>
        </w:numPr>
      </w:pPr>
      <w:r>
        <w:t xml:space="preserve">Market position: one of two leading outsourced fluid-subsystem suppliers alongside UCT [UNCONFIRMED ranking].</w:t>
      </w:r>
    </w:p>
    <w:p>
      <w:r>
        <w:rPr>
          <w:b/>
          <w:bCs/>
        </w:rPr>
        <w:t xml:space="preserve">TAM:</w:t>
      </w:r>
    </w:p>
    <w:p>
      <w:pPr>
        <w:pStyle w:val="ListParagraph"/>
        <w:numPr>
          <w:ilvl w:val="0"/>
          <w:numId w:val="1"/>
        </w:numPr>
      </w:pPr>
      <w:r>
        <w:t xml:space="preserve">Ichor does not disclose a TAM figure in the materials retrieved, and no sourced independent estimate was found. </w:t>
      </w:r>
      <w:r>
        <w:rPr>
          <w:b/>
          <w:bCs/>
        </w:rPr>
        <w:t xml:space="preserve">No TAM is stated.</w:t>
      </w:r>
    </w:p>
    <w:p>
      <w:pPr>
        <w:pStyle w:val="ListParagraph"/>
        <w:numPr>
          <w:ilvl w:val="0"/>
          <w:numId w:val="1"/>
        </w:numPr>
      </w:pPr>
      <w:r>
        <w:t xml:space="preserve">Growth tracks WFE spend and share of wallet at Lam and AMAT. Management frames FY26 at the "high end of WFE expectations".</w:t>
      </w:r>
    </w:p>
    <w:p>
      <w:pPr>
        <w:pStyle w:val="Heading2"/>
        <w:spacing w:after="120" w:before="240"/>
      </w:pPr>
      <w:r>
        <w:t xml:space="preserve">2. Routing</w:t>
      </w:r>
    </w:p>
    <w:p>
      <w:r>
        <w:rPr>
          <w:b/>
          <w:bCs/>
        </w:rPr>
        <w:t xml:space="preserve">Track B-SM (Semiconductors &amp; AI infrastructure).</w:t>
      </w:r>
    </w:p>
    <w:p>
      <w:pPr>
        <w:pStyle w:val="ListParagraph"/>
        <w:numPr>
          <w:ilvl w:val="0"/>
          <w:numId w:val="1"/>
        </w:numPr>
      </w:pPr>
      <w:r>
        <w:t xml:space="preserve">The business is semi-cap-driven, so this is the right routing.</w:t>
      </w:r>
    </w:p>
    <w:p>
      <w:pPr>
        <w:pStyle w:val="ListParagraph"/>
        <w:numPr>
          <w:ilvl w:val="0"/>
          <w:numId w:val="1"/>
        </w:numPr>
      </w:pPr>
      <w:r>
        <w:t xml:space="preserve">But the economics are those of a </w:t>
      </w:r>
      <w:r>
        <w:rPr>
          <w:b/>
          <w:bCs/>
        </w:rPr>
        <w:t xml:space="preserve">contract manufacturer</w:t>
      </w:r>
      <w:r>
        <w:t xml:space="preserve">, not a fabless/IDM semi: 9–14% gross margin against the appendix's 45–55% "strong" thresholds.</w:t>
      </w:r>
    </w:p>
    <w:p>
      <w:pPr>
        <w:pStyle w:val="ListParagraph"/>
        <w:numPr>
          <w:ilvl w:val="0"/>
          <w:numId w:val="1"/>
        </w:numPr>
      </w:pPr>
      <w:r>
        <w:t xml:space="preserve">Track B conviction rules therefore mark it </w:t>
      </w:r>
      <w:r>
        <w:rPr>
          <w:b/>
          <w:bCs/>
        </w:rPr>
        <w:t xml:space="preserve">CAUTION</w:t>
      </w:r>
      <w:r>
        <w:t xml:space="preserve">: revenue growth &gt; 20% ✅, but gross margin &gt; 60% ❌, and FCF is negative.</w:t>
      </w:r>
    </w:p>
    <w:p>
      <w:pPr>
        <w:pStyle w:val="ListParagraph"/>
        <w:numPr>
          <w:ilvl w:val="0"/>
          <w:numId w:val="1"/>
        </w:numPr>
      </w:pPr>
      <w:r>
        <w:t xml:space="preserve">The Koller DCF is the primary quantitative anchor, since cash flows are forecastable once through-cycle margins are assumed.</w:t>
      </w:r>
    </w:p>
    <w:p>
      <w:pPr>
        <w:pStyle w:val="Heading2"/>
        <w:spacing w:after="120" w:before="240"/>
      </w:pPr>
      <w:r>
        <w:t xml:space="preserve">3. Categorization (Lynch)</w:t>
      </w:r>
    </w:p>
    <w:p>
      <w:r>
        <w:rPr>
          <w:b/>
          <w:bCs/>
        </w:rPr>
        <w:t xml:space="preserve">Cyclical.</w:t>
      </w:r>
    </w:p>
    <w:p>
      <w:pPr>
        <w:pStyle w:val="ListParagraph"/>
        <w:numPr>
          <w:ilvl w:val="0"/>
          <w:numId w:val="1"/>
        </w:numPr>
      </w:pPr>
      <w:r>
        <w:t xml:space="preserve">Revenue FY22 $1,280M → FY23 $811M (</w:t>
      </w:r>
      <w:r>
        <w:rPr>
          <w:b/>
          <w:bCs/>
        </w:rPr>
        <w:t xml:space="preserve">−36.6%</w:t>
      </w:r>
      <w:r>
        <w:t xml:space="preserve">) → FY24 $849M → FY25 $948M → FY26E ≥$1.23B.</w:t>
      </w:r>
    </w:p>
    <w:p>
      <w:pPr>
        <w:pStyle w:val="ListParagraph"/>
        <w:numPr>
          <w:ilvl w:val="0"/>
          <w:numId w:val="1"/>
        </w:numPr>
      </w:pPr>
      <w:r>
        <w:t xml:space="preserve">Gross margin 16.6% (FY22) → 9.3% (FY25) → 14.1% (Q2-26).</w:t>
      </w:r>
    </w:p>
    <w:p>
      <w:pPr>
        <w:pStyle w:val="ListParagraph"/>
        <w:numPr>
          <w:ilvl w:val="0"/>
          <w:numId w:val="1"/>
        </w:numPr>
      </w:pPr>
      <w:r>
        <w:t xml:space="preserve">The classic semi-cap boom-bust. Lynch: buy cyclicals when trailing P/E looks terrible and the balance sheet can survive. Today the trailing P/E is n/m (losses) *and* the stock is up 4× from its low. The easy part of the cycle trade has already been paid.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r>
        <w:rPr>
          <w:b/>
          <w:bCs/>
        </w:rPr>
        <w:t xml:space="preserve">Accrual ratio (NI − OCF) / avg total assets: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Year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Accrual ratio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Components</w:t>
            </w:r>
          </w:p>
        </w:tc>
      </w:tr>
      <w:tr>
        <w:tc>
          <w:tcPr>
            <w:tcW w:type="dxa" w:w="3600"/>
          </w:tcPr>
          <w:p>
            <w:r>
              <w:t xml:space="preserve">FY25</w:t>
            </w:r>
          </w:p>
        </w:tc>
        <w:tc>
          <w:tcPr>
            <w:tcW w:type="dxa" w:w="3600"/>
          </w:tcPr>
          <w:p>
            <w:r>
              <w:t xml:space="preserve">−8.5%</w:t>
            </w:r>
          </w:p>
        </w:tc>
        <w:tc>
          <w:tcPr>
            <w:tcW w:type="dxa" w:w="3600"/>
          </w:tcPr>
          <w:p>
            <w:r>
              <w:t xml:space="preserve">NI −$52.8M, OCF +$29.9M, avg assets $969M</w:t>
            </w:r>
          </w:p>
        </w:tc>
      </w:tr>
      <w:tr>
        <w:tc>
          <w:tcPr>
            <w:tcW w:type="dxa" w:w="3600"/>
          </w:tcPr>
          <w:p>
            <w:r>
              <w:t xml:space="preserve">TTM</w:t>
            </w:r>
          </w:p>
        </w:tc>
        <w:tc>
          <w:tcPr>
            <w:tcW w:type="dxa" w:w="3600"/>
          </w:tcPr>
          <w:p>
            <w:r>
              <w:t xml:space="preserve">≈ −4%</w:t>
            </w:r>
          </w:p>
        </w:tc>
        <w:tc>
          <w:tcPr>
            <w:tcW w:type="dxa" w:w="3600"/>
          </w:tcPr>
          <w:p>
            <w:r>
              <w:t xml:space="preserve">NI ≈ −$40M, OCF ≈ −$0.4M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Losses exceed cash burn (D&amp;A, SBC, impairments), so there is no Sloan-style accrual inflation.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flag is the other direction: OCF is negative while revenue grows 15–23%.</w:t>
      </w:r>
      <w:r>
        <w:t xml:space="preserve"> Growth is consuming working capital, and management does not expect positive OCF until H1-27.</w:t>
      </w:r>
    </w:p>
    <w:p>
      <w:r>
        <w:rPr>
          <w:b/>
          <w:bCs/>
        </w:rPr>
        <w:t xml:space="preserve">GAAP vs non-GAAP gap:</w:t>
      </w:r>
      <w:r>
        <w:t xml:space="preserve"> Q2-26 GAAP net income $1.0M vs non-GAAP $12.2M. The $11.2M gap is amortisation, SBC ($16.7M in FY25) and other items. The persistent earnings base is closer to GAAP than to non-GAAP.</w:t>
      </w:r>
    </w:p>
    <w:p>
      <w:r>
        <w:rPr>
          <w:b/>
          <w:bCs/>
        </w:rPr>
        <w:t xml:space="preserve">RNOA:</w:t>
      </w:r>
    </w:p>
    <w:p>
      <w:pPr>
        <w:pStyle w:val="ListParagraph"/>
        <w:numPr>
          <w:ilvl w:val="0"/>
          <w:numId w:val="1"/>
        </w:numPr>
      </w:pPr>
      <w:r>
        <w:t xml:space="preserve">Operating ROIC: FY22 ~8.2%, then negative FY23–FY25.</w:t>
      </w:r>
    </w:p>
    <w:p>
      <w:pPr>
        <w:pStyle w:val="ListParagraph"/>
        <w:numPr>
          <w:ilvl w:val="0"/>
          <w:numId w:val="1"/>
        </w:numPr>
      </w:pPr>
      <w:r>
        <w:t xml:space="preserve">ROE −7.7% (FY25) and −4.7% TTM. Leverage is low (D/E 0.2), so there is no leverage flattering.</w:t>
      </w:r>
    </w:p>
    <w:p>
      <w:r>
        <w:rPr>
          <w:b/>
          <w:bCs/>
        </w:rPr>
        <w:t xml:space="preserve">Dilution:</w:t>
      </w:r>
      <w:r>
        <w:t xml:space="preserve"> shares went 28.9M (FY22) → 29.4M → 33.9M (FY24, a $136.7M equity raise) → 34.4M → </w:t>
      </w:r>
      <w:r>
        <w:rPr>
          <w:b/>
          <w:bCs/>
        </w:rPr>
        <w:t xml:space="preserve">37.45M</w:t>
      </w:r>
      <w:r>
        <w:t xml:space="preserve"> (the 2026 ATM). That is </w:t>
      </w:r>
      <w:r>
        <w:rPr>
          <w:b/>
          <w:bCs/>
        </w:rPr>
        <w:t xml:space="preserve">+30% in ~3.5 years, ≈7.7%/yr</w:t>
      </w:r>
      <w:r>
        <w:t xml:space="preserve">, above Fisher's 5% warning line.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r>
        <w:rPr>
          <w:b/>
          <w:bCs/>
        </w:rPr>
        <w:t xml:space="preserve">WACC construction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Input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Note</w:t>
            </w:r>
          </w:p>
        </w:tc>
      </w:tr>
      <w:tr>
        <w:tc>
          <w:tcPr>
            <w:tcW w:type="dxa" w:w="3600"/>
          </w:tcPr>
          <w:p>
            <w:r>
              <w:t xml:space="preserve">Risk-free</w:t>
            </w:r>
          </w:p>
        </w:tc>
        <w:tc>
          <w:tcPr>
            <w:tcW w:type="dxa" w:w="3600"/>
          </w:tcPr>
          <w:p>
            <w:r>
              <w:t xml:space="preserve">5.14%</w:t>
            </w:r>
          </w:p>
        </w:tc>
        <w:tc>
          <w:tcPr>
            <w:tcW w:type="dxa" w:w="3600"/>
          </w:tcPr>
          <w:p>
            <w:r>
              <w:t xml:space="preserve">US 10Y (macro_report_2026-09-24)</w:t>
            </w:r>
          </w:p>
        </w:tc>
      </w:tr>
      <w:tr>
        <w:tc>
          <w:tcPr>
            <w:tcW w:type="dxa" w:w="3600"/>
          </w:tcPr>
          <w:p>
            <w:r>
              <w:t xml:space="preserve">ERP</w:t>
            </w:r>
          </w:p>
        </w:tc>
        <w:tc>
          <w:tcPr>
            <w:tcW w:type="dxa" w:w="3600"/>
          </w:tcPr>
          <w:p>
            <w:r>
              <w:t xml:space="preserve">4.5%</w:t>
            </w:r>
          </w:p>
        </w:tc>
        <w:tc>
          <w:tcPr>
            <w:tcW w:type="dxa" w:w="3600"/>
          </w:tcPr>
          <w:p>
            <w:r>
              <w:t xml:space="preserve">Agent default</w:t>
            </w:r>
          </w:p>
        </w:tc>
      </w:tr>
      <w:tr>
        <w:tc>
          <w:tcPr>
            <w:tcW w:type="dxa" w:w="3600"/>
          </w:tcPr>
          <w:p>
            <w:r>
              <w:t xml:space="preserve">Beta (reported)</w:t>
            </w:r>
          </w:p>
        </w:tc>
        <w:tc>
          <w:tcPr>
            <w:tcW w:type="dxa" w:w="3600"/>
          </w:tcPr>
          <w:p>
            <w:r>
              <w:t xml:space="preserve">1.81</w:t>
            </w:r>
          </w:p>
        </w:tc>
        <w:tc>
          <w:tcPr>
            <w:tcW w:type="dxa" w:w="3600"/>
          </w:tcPr>
          <w:p>
            <w:r>
              <w:t xml:space="preserve">yfinance. CAPM Re 13.3%</w:t>
            </w:r>
          </w:p>
        </w:tc>
      </w:tr>
      <w:tr>
        <w:tc>
          <w:tcPr>
            <w:tcW w:type="dxa" w:w="3600"/>
          </w:tcPr>
          <w:p>
            <w:r>
              <w:t xml:space="preserve">Beta used (Base)</w:t>
            </w:r>
          </w:p>
        </w:tc>
        <w:tc>
          <w:tcPr>
            <w:tcW w:type="dxa" w:w="3600"/>
          </w:tcPr>
          <w:p>
            <w:r>
              <w:t xml:space="preserve">~1.4</w:t>
            </w:r>
          </w:p>
        </w:tc>
        <w:tc>
          <w:tcPr>
            <w:tcW w:type="dxa" w:w="3600"/>
          </w:tcPr>
          <w:p>
            <w:r>
              <w:t xml:space="preserve">The reported beta is inflated by the 2025–26 AI rally. Re ≈ 11.4%</w:t>
            </w:r>
          </w:p>
        </w:tc>
      </w:tr>
      <w:tr>
        <w:tc>
          <w:tcPr>
            <w:tcW w:type="dxa" w:w="3600"/>
          </w:tcPr>
          <w:p>
            <w:r>
              <w:t xml:space="preserve">Cost of debt (after-tax)</w:t>
            </w:r>
          </w:p>
        </w:tc>
        <w:tc>
          <w:tcPr>
            <w:tcW w:type="dxa" w:w="3600"/>
          </w:tcPr>
          <w:p>
            <w:r>
              <w:t xml:space="preserve">~6%</w:t>
            </w:r>
          </w:p>
        </w:tc>
        <w:tc>
          <w:tcPr>
            <w:tcW w:type="dxa" w:w="3600"/>
          </w:tcPr>
          <w:p>
            <w:r>
              <w:t xml:space="preserve">Term loan being repaid</w:t>
            </w:r>
          </w:p>
        </w:tc>
      </w:tr>
      <w:tr>
        <w:tc>
          <w:tcPr>
            <w:tcW w:type="dxa" w:w="3600"/>
          </w:tcPr>
          <w:p>
            <w:r>
              <w:t xml:space="preserve">D/V</w:t>
            </w:r>
          </w:p>
        </w:tc>
        <w:tc>
          <w:tcPr>
            <w:tcW w:type="dxa" w:w="3600"/>
          </w:tcPr>
          <w:p>
            <w:r>
              <w:t xml:space="preserve">~5%</w:t>
            </w:r>
          </w:p>
        </w:tc>
        <w:tc>
          <w:tcPr>
            <w:tcW w:type="dxa" w:w="3600"/>
          </w:tcPr>
          <w:p>
            <w:r>
              <w:t xml:space="preserve">$121M debt vs $2.11B equity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WACC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11.5%</w:t>
            </w:r>
          </w:p>
        </w:tc>
        <w:tc>
          <w:tcPr>
            <w:tcW w:type="dxa" w:w="3600"/>
          </w:tcPr>
          <w:p>
            <w:r>
              <w:t xml:space="preserve">Stress case 13% (CAPM beta)</w:t>
            </w:r>
          </w:p>
        </w:tc>
      </w:tr>
    </w:tbl>
    <w:p>
      <w:r>
        <w:rPr>
          <w:b/>
          <w:bCs/>
        </w:rPr>
        <w:t xml:space="preserve">Scenario inputs</w:t>
      </w:r>
      <w:r>
        <w:t xml:space="preserve"> (base-year revenue FY26E $1.23B; tax 15%; terminal g 3%, terminal ROIC fading to 12%):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D9D9" w:val="clear"/>
          </w:tcPr>
          <w:p>
            <w:r>
              <w:t xml:space="preserve">Scenario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2027 growth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Growth yrs 2–5 → yr 10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NOPLAT margin (≈ EBIT)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Yr-10 revenue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Yr-10 NOPLAT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Value/share (11.5%)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€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Value/share (13%)</w:t>
            </w:r>
          </w:p>
        </w:tc>
      </w:tr>
      <w:tr>
        <w:tc>
          <w:tcPr>
            <w:tcW w:type="dxa" w:w="1200"/>
          </w:tcPr>
          <w:p>
            <w:r>
              <w:t xml:space="preserve">Bear</w:t>
            </w:r>
          </w:p>
        </w:tc>
        <w:tc>
          <w:tcPr>
            <w:tcW w:type="dxa" w:w="1200"/>
          </w:tcPr>
          <w:p>
            <w:r>
              <w:t xml:space="preserve">−15% (WFE digestion)</w:t>
            </w:r>
          </w:p>
        </w:tc>
        <w:tc>
          <w:tcPr>
            <w:tcW w:type="dxa" w:w="1200"/>
          </w:tcPr>
          <w:p>
            <w:r>
              <w:t xml:space="preserve">4% → 3%</w:t>
            </w:r>
          </w:p>
        </w:tc>
        <w:tc>
          <w:tcPr>
            <w:tcW w:type="dxa" w:w="1200"/>
          </w:tcPr>
          <w:p>
            <w:r>
              <w:t xml:space="preserve">3.0% → 4.0% (≈ 4.7% EBIT)</w:t>
            </w:r>
          </w:p>
        </w:tc>
        <w:tc>
          <w:tcPr>
            <w:tcW w:type="dxa" w:w="1200"/>
          </w:tcPr>
          <w:p>
            <w:r>
              <w:t xml:space="preserve">$1.45B</w:t>
            </w:r>
          </w:p>
        </w:tc>
        <w:tc>
          <w:tcPr>
            <w:tcW w:type="dxa" w:w="1200"/>
          </w:tcPr>
          <w:p>
            <w:r>
              <w:t xml:space="preserve">$58M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$13.03</w:t>
            </w:r>
          </w:p>
        </w:tc>
        <w:tc>
          <w:tcPr>
            <w:tcW w:type="dxa" w:w="1200"/>
          </w:tcPr>
          <w:p>
            <w:r>
              <w:t xml:space="preserve">€11.44</w:t>
            </w:r>
          </w:p>
        </w:tc>
        <w:tc>
          <w:tcPr>
            <w:tcW w:type="dxa" w:w="1200"/>
          </w:tcPr>
          <w:p>
            <w:r>
              <w:t xml:space="preserve">~$11.4</w:t>
            </w:r>
          </w:p>
        </w:tc>
      </w:tr>
      <w:tr>
        <w:tc>
          <w:tcPr>
            <w:tcW w:type="dxa" w:w="1200"/>
          </w:tcPr>
          <w:p>
            <w:r>
              <w:t xml:space="preserve">Base</w:t>
            </w:r>
          </w:p>
        </w:tc>
        <w:tc>
          <w:tcPr>
            <w:tcW w:type="dxa" w:w="1200"/>
          </w:tcPr>
          <w:p>
            <w:r>
              <w:t xml:space="preserve">+15%</w:t>
            </w:r>
          </w:p>
        </w:tc>
        <w:tc>
          <w:tcPr>
            <w:tcW w:type="dxa" w:w="1200"/>
          </w:tcPr>
          <w:p>
            <w:r>
              <w:t xml:space="preserve">8% → 3.5%</w:t>
            </w:r>
          </w:p>
        </w:tc>
        <w:tc>
          <w:tcPr>
            <w:tcW w:type="dxa" w:w="1200"/>
          </w:tcPr>
          <w:p>
            <w:r>
              <w:t xml:space="preserve">6.0% → 6.8% (≈ 8% EBIT; ~20% GM reached)</w:t>
            </w:r>
          </w:p>
        </w:tc>
        <w:tc>
          <w:tcPr>
            <w:tcW w:type="dxa" w:w="1200"/>
          </w:tcPr>
          <w:p>
            <w:r>
              <w:t xml:space="preserve">$2.49B</w:t>
            </w:r>
          </w:p>
        </w:tc>
        <w:tc>
          <w:tcPr>
            <w:tcW w:type="dxa" w:w="1200"/>
          </w:tcPr>
          <w:p>
            <w:r>
              <w:t xml:space="preserve">$169M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$26.87</w:t>
            </w:r>
          </w:p>
        </w:tc>
        <w:tc>
          <w:tcPr>
            <w:tcW w:type="dxa" w:w="1200"/>
          </w:tcPr>
          <w:p>
            <w:r>
              <w:t xml:space="preserve">€23.59</w:t>
            </w:r>
          </w:p>
        </w:tc>
        <w:tc>
          <w:tcPr>
            <w:tcW w:type="dxa" w:w="1200"/>
          </w:tcPr>
          <w:p>
            <w:r>
              <w:t xml:space="preserve">~$22.5</w:t>
            </w:r>
          </w:p>
        </w:tc>
      </w:tr>
      <w:tr>
        <w:tc>
          <w:tcPr>
            <w:tcW w:type="dxa" w:w="1200"/>
          </w:tcPr>
          <w:p>
            <w:r>
              <w:t xml:space="preserve">Bull</w:t>
            </w:r>
          </w:p>
        </w:tc>
        <w:tc>
          <w:tcPr>
            <w:tcW w:type="dxa" w:w="1200"/>
          </w:tcPr>
          <w:p>
            <w:r>
              <w:t xml:space="preserve">+25%</w:t>
            </w:r>
          </w:p>
        </w:tc>
        <w:tc>
          <w:tcPr>
            <w:tcW w:type="dxa" w:w="1200"/>
          </w:tcPr>
          <w:p>
            <w:r>
              <w:t xml:space="preserve">12% → 4%</w:t>
            </w:r>
          </w:p>
        </w:tc>
        <w:tc>
          <w:tcPr>
            <w:tcW w:type="dxa" w:w="1200"/>
          </w:tcPr>
          <w:p>
            <w:r>
              <w:t xml:space="preserve">8.0% → 9.0% (≈ 10.6% EBIT)</w:t>
            </w:r>
          </w:p>
        </w:tc>
        <w:tc>
          <w:tcPr>
            <w:tcW w:type="dxa" w:w="1200"/>
          </w:tcPr>
          <w:p>
            <w:r>
              <w:t xml:space="preserve">$3.42B</w:t>
            </w:r>
          </w:p>
        </w:tc>
        <w:tc>
          <w:tcPr>
            <w:tcW w:type="dxa" w:w="1200"/>
          </w:tcPr>
          <w:p>
            <w:r>
              <w:t xml:space="preserve">$308M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$43.01</w:t>
            </w:r>
          </w:p>
        </w:tc>
        <w:tc>
          <w:tcPr>
            <w:tcW w:type="dxa" w:w="1200"/>
          </w:tcPr>
          <w:p>
            <w:r>
              <w:t xml:space="preserve">€37.76</w:t>
            </w:r>
          </w:p>
        </w:tc>
        <w:tc>
          <w:tcPr>
            <w:tcW w:type="dxa" w:w="1200"/>
          </w:tcPr>
          <w:p>
            <w:r>
              <w:t xml:space="preserve">~$35.3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Terminal value is 60% of EV (Base).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MoS Gate: NONE.</w:t>
      </w:r>
      <w:r>
        <w:t xml:space="preserve"> $56.47 &gt; Bull $43.01. </w:t>
      </w:r>
      <w:r>
        <w:rPr>
          <w:b/>
          <w:bCs/>
        </w:rPr>
        <w:t xml:space="preserve">Priced for perfection:</w:t>
      </w:r>
      <w:r>
        <w:t xml:space="preserve"> no scenario is left in which the thesis is right and the stock still has room to work.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Exit-multiple cross-check (Method 2):</w:t>
      </w:r>
    </w:p>
    <w:p>
      <w:r>
        <w:t xml:space="preserve">  - Base implies ~5.7× year-10 EBITDA.</w:t>
      </w:r>
    </w:p>
    <w:p>
      <w:r>
        <w:t xml:space="preserve">  - At a 10× peer-style multiple, Base becomes ≈$37.5. That is a &gt;30% divergence, so it was re-examined.</w:t>
      </w:r>
    </w:p>
    <w:p>
      <w:r>
        <w:t xml:space="preserve">  - The difference comes from terminal-ROIC fade vs upcycle peer multiples. </w:t>
      </w:r>
      <w:r>
        <w:rPr>
          <w:b/>
          <w:bCs/>
        </w:rPr>
        <w:t xml:space="preserve">Even the exit-multiple version sits ~34% below the price.</w:t>
      </w:r>
    </w:p>
    <w:p>
      <w:r>
        <w:rPr>
          <w:b/>
          <w:bCs/>
        </w:rPr>
        <w:t xml:space="preserve">Sensitivity (Benninga), Base case — WACC × terminal g: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WACC \ g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1%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2%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3%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4%</w:t>
            </w:r>
          </w:p>
        </w:tc>
      </w:tr>
      <w:tr>
        <w:tc>
          <w:tcPr>
            <w:tcW w:type="dxa" w:w="2160"/>
          </w:tcPr>
          <w:p>
            <w:r>
              <w:t xml:space="preserve">9.5%</w:t>
            </w:r>
          </w:p>
        </w:tc>
        <w:tc>
          <w:tcPr>
            <w:tcW w:type="dxa" w:w="2160"/>
          </w:tcPr>
          <w:p>
            <w:r>
              <w:t xml:space="preserve">$34.04</w:t>
            </w:r>
          </w:p>
        </w:tc>
        <w:tc>
          <w:tcPr>
            <w:tcW w:type="dxa" w:w="2160"/>
          </w:tcPr>
          <w:p>
            <w:r>
              <w:t xml:space="preserve">$34.84</w:t>
            </w:r>
          </w:p>
        </w:tc>
        <w:tc>
          <w:tcPr>
            <w:tcW w:type="dxa" w:w="2160"/>
          </w:tcPr>
          <w:p>
            <w:r>
              <w:t xml:space="preserve">$35.85</w:t>
            </w:r>
          </w:p>
        </w:tc>
        <w:tc>
          <w:tcPr>
            <w:tcW w:type="dxa" w:w="2160"/>
          </w:tcPr>
          <w:p>
            <w:r>
              <w:t xml:space="preserve">$37.16</w:t>
            </w:r>
          </w:p>
        </w:tc>
      </w:tr>
      <w:tr>
        <w:tc>
          <w:tcPr>
            <w:tcW w:type="dxa" w:w="2160"/>
          </w:tcPr>
          <w:p>
            <w:r>
              <w:t xml:space="preserve">10.5%</w:t>
            </w:r>
          </w:p>
        </w:tc>
        <w:tc>
          <w:tcPr>
            <w:tcW w:type="dxa" w:w="2160"/>
          </w:tcPr>
          <w:p>
            <w:r>
              <w:t xml:space="preserve">$29.81</w:t>
            </w:r>
          </w:p>
        </w:tc>
        <w:tc>
          <w:tcPr>
            <w:tcW w:type="dxa" w:w="2160"/>
          </w:tcPr>
          <w:p>
            <w:r>
              <w:t xml:space="preserve">$30.24</w:t>
            </w:r>
          </w:p>
        </w:tc>
        <w:tc>
          <w:tcPr>
            <w:tcW w:type="dxa" w:w="2160"/>
          </w:tcPr>
          <w:p>
            <w:r>
              <w:t xml:space="preserve">$30.74</w:t>
            </w:r>
          </w:p>
        </w:tc>
        <w:tc>
          <w:tcPr>
            <w:tcW w:type="dxa" w:w="2160"/>
          </w:tcPr>
          <w:p>
            <w:r>
              <w:t xml:space="preserve">$31.35</w:t>
            </w:r>
          </w:p>
        </w:tc>
      </w:tr>
      <w:tr>
        <w:tc>
          <w:tcPr>
            <w:tcW w:type="dxa" w:w="2160"/>
          </w:tcPr>
          <w:p>
            <w:r>
              <w:t xml:space="preserve">11.5%</w:t>
            </w:r>
          </w:p>
        </w:tc>
        <w:tc>
          <w:tcPr>
            <w:tcW w:type="dxa" w:w="2160"/>
          </w:tcPr>
          <w:p>
            <w:r>
              <w:t xml:space="preserve">$26.46</w:t>
            </w:r>
          </w:p>
        </w:tc>
        <w:tc>
          <w:tcPr>
            <w:tcW w:type="dxa" w:w="2160"/>
          </w:tcPr>
          <w:p>
            <w:r>
              <w:t xml:space="preserve">$26.66</w:t>
            </w:r>
          </w:p>
        </w:tc>
        <w:tc>
          <w:tcPr>
            <w:tcW w:type="dxa" w:w="2160"/>
          </w:tcPr>
          <w:p>
            <w:r>
              <w:rPr>
                <w:b/>
                <w:bCs/>
              </w:rPr>
              <w:t xml:space="preserve">$26.87</w:t>
            </w:r>
          </w:p>
        </w:tc>
        <w:tc>
          <w:tcPr>
            <w:tcW w:type="dxa" w:w="2160"/>
          </w:tcPr>
          <w:p>
            <w:r>
              <w:t xml:space="preserve">$27.11</w:t>
            </w:r>
          </w:p>
        </w:tc>
      </w:tr>
      <w:tr>
        <w:tc>
          <w:tcPr>
            <w:tcW w:type="dxa" w:w="2160"/>
          </w:tcPr>
          <w:p>
            <w:r>
              <w:t xml:space="preserve">12.5%</w:t>
            </w:r>
          </w:p>
        </w:tc>
        <w:tc>
          <w:tcPr>
            <w:tcW w:type="dxa" w:w="2160"/>
          </w:tcPr>
          <w:p>
            <w:r>
              <w:t xml:space="preserve">$23.74</w:t>
            </w:r>
          </w:p>
        </w:tc>
        <w:tc>
          <w:tcPr>
            <w:tcW w:type="dxa" w:w="2160"/>
          </w:tcPr>
          <w:p>
            <w:r>
              <w:t xml:space="preserve">$23.80</w:t>
            </w:r>
          </w:p>
        </w:tc>
        <w:tc>
          <w:tcPr>
            <w:tcW w:type="dxa" w:w="2160"/>
          </w:tcPr>
          <w:p>
            <w:r>
              <w:t xml:space="preserve">$23.85</w:t>
            </w:r>
          </w:p>
        </w:tc>
        <w:tc>
          <w:tcPr>
            <w:tcW w:type="dxa" w:w="2160"/>
          </w:tcPr>
          <w:p>
            <w:r>
              <w:t xml:space="preserve">$23.89</w:t>
            </w:r>
          </w:p>
        </w:tc>
      </w:tr>
    </w:tbl>
    <w:p>
      <w:r>
        <w:rPr>
          <w:b/>
          <w:bCs/>
        </w:rPr>
        <w:t xml:space="preserve">Growth multiplier × NOPLAT margin shift</w:t>
      </w:r>
      <w:r>
        <w:t xml:space="preserve"> (WACC 11.5%):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Growth \ margin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−300bp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−150bp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Base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+200bp</w:t>
            </w:r>
          </w:p>
        </w:tc>
      </w:tr>
      <w:tr>
        <w:tc>
          <w:tcPr>
            <w:tcW w:type="dxa" w:w="2160"/>
          </w:tcPr>
          <w:p>
            <w:r>
              <w:t xml:space="preserve">×0.7</w:t>
            </w:r>
          </w:p>
        </w:tc>
        <w:tc>
          <w:tcPr>
            <w:tcW w:type="dxa" w:w="2160"/>
          </w:tcPr>
          <w:p>
            <w:r>
              <w:t xml:space="preserve">$15.81</w:t>
            </w:r>
          </w:p>
        </w:tc>
        <w:tc>
          <w:tcPr>
            <w:tcW w:type="dxa" w:w="2160"/>
          </w:tcPr>
          <w:p>
            <w:r>
              <w:t xml:space="preserve">$20.71</w:t>
            </w:r>
          </w:p>
        </w:tc>
        <w:tc>
          <w:tcPr>
            <w:tcW w:type="dxa" w:w="2160"/>
          </w:tcPr>
          <w:p>
            <w:r>
              <w:t xml:space="preserve">$25.61</w:t>
            </w:r>
          </w:p>
        </w:tc>
        <w:tc>
          <w:tcPr>
            <w:tcW w:type="dxa" w:w="2160"/>
          </w:tcPr>
          <w:p>
            <w:r>
              <w:t xml:space="preserve">$32.15</w:t>
            </w:r>
          </w:p>
        </w:tc>
      </w:tr>
      <w:tr>
        <w:tc>
          <w:tcPr>
            <w:tcW w:type="dxa" w:w="2160"/>
          </w:tcPr>
          <w:p>
            <w:r>
              <w:t xml:space="preserve">×1.0</w:t>
            </w:r>
          </w:p>
        </w:tc>
        <w:tc>
          <w:tcPr>
            <w:tcW w:type="dxa" w:w="2160"/>
          </w:tcPr>
          <w:p>
            <w:r>
              <w:t xml:space="preserve">$16.56</w:t>
            </w:r>
          </w:p>
        </w:tc>
        <w:tc>
          <w:tcPr>
            <w:tcW w:type="dxa" w:w="2160"/>
          </w:tcPr>
          <w:p>
            <w:r>
              <w:t xml:space="preserve">$21.71</w:t>
            </w:r>
          </w:p>
        </w:tc>
        <w:tc>
          <w:tcPr>
            <w:tcW w:type="dxa" w:w="2160"/>
          </w:tcPr>
          <w:p>
            <w:r>
              <w:t xml:space="preserve">$26.87</w:t>
            </w:r>
          </w:p>
        </w:tc>
        <w:tc>
          <w:tcPr>
            <w:tcW w:type="dxa" w:w="2160"/>
          </w:tcPr>
          <w:p>
            <w:r>
              <w:t xml:space="preserve">$33.75</w:t>
            </w:r>
          </w:p>
        </w:tc>
      </w:tr>
      <w:tr>
        <w:tc>
          <w:tcPr>
            <w:tcW w:type="dxa" w:w="2160"/>
          </w:tcPr>
          <w:p>
            <w:r>
              <w:t xml:space="preserve">×1.3</w:t>
            </w:r>
          </w:p>
        </w:tc>
        <w:tc>
          <w:tcPr>
            <w:tcW w:type="dxa" w:w="2160"/>
          </w:tcPr>
          <w:p>
            <w:r>
              <w:t xml:space="preserve">$17.34</w:t>
            </w:r>
          </w:p>
        </w:tc>
        <w:tc>
          <w:tcPr>
            <w:tcW w:type="dxa" w:w="2160"/>
          </w:tcPr>
          <w:p>
            <w:r>
              <w:t xml:space="preserve">$22.77</w:t>
            </w:r>
          </w:p>
        </w:tc>
        <w:tc>
          <w:tcPr>
            <w:tcW w:type="dxa" w:w="2160"/>
          </w:tcPr>
          <w:p>
            <w:r>
              <w:t xml:space="preserve">$28.20</w:t>
            </w:r>
          </w:p>
        </w:tc>
        <w:tc>
          <w:tcPr>
            <w:tcW w:type="dxa" w:w="2160"/>
          </w:tcPr>
          <w:p>
            <w:r>
              <w:t xml:space="preserve">$35.43</w:t>
            </w:r>
          </w:p>
        </w:tc>
      </w:tr>
    </w:tbl>
    <w:p>
      <w:r>
        <w:t xml:space="preserve">No cell in either grid reaches $56.47.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r>
        <w:rPr>
          <w:b/>
          <w:bCs/>
        </w:rPr>
        <w:t xml:space="preserve">What the price needs:</w:t>
      </w:r>
      <w:r>
        <w:t xml:space="preserve"> holding Base growth (+15% then 8% fading to 3.5%), it implies a steady EBIT margin of: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~16.1% at WACC 11.5%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~12.8% at 10%.</w:t>
      </w:r>
    </w:p>
    <w:p>
      <w:pPr>
        <w:pStyle w:val="ListParagraph"/>
        <w:numPr>
          <w:ilvl w:val="0"/>
          <w:numId w:val="1"/>
        </w:numPr>
      </w:pPr>
      <w:r>
        <w:t xml:space="preserve">~19.5% at 13%.</w:t>
      </w:r>
    </w:p>
    <w:p>
      <w:r>
        <w:rPr>
          <w:b/>
          <w:bCs/>
        </w:rPr>
        <w:t xml:space="preserve">Against the base rates:</w:t>
      </w:r>
    </w:p>
    <w:p>
      <w:pPr>
        <w:pStyle w:val="ListParagraph"/>
        <w:numPr>
          <w:ilvl w:val="0"/>
          <w:numId w:val="1"/>
        </w:numPr>
      </w:pPr>
      <w:r>
        <w:t xml:space="preserve">Best-ever EBIT margin: 6.7% (FY22, cycle peak).</w:t>
      </w:r>
    </w:p>
    <w:p>
      <w:pPr>
        <w:pStyle w:val="ListParagraph"/>
        <w:numPr>
          <w:ilvl w:val="0"/>
          <w:numId w:val="1"/>
        </w:numPr>
      </w:pPr>
      <w:r>
        <w:t xml:space="preserve">Management target: 20% gross margin, ≈9–10% EBIT.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implied margin is ~1.6–2.4× the company's own best outcome.</w:t>
      </w:r>
      <w:r>
        <w:t xml:space="preserve"> That is squarely in the "2×+ base rate, priced for perfection" band.</w:t>
      </w:r>
    </w:p>
    <w:p>
      <w:pPr>
        <w:pStyle w:val="ListParagraph"/>
        <w:numPr>
          <w:ilvl w:val="0"/>
          <w:numId w:val="1"/>
        </w:numPr>
      </w:pPr>
      <w:r>
        <w:t xml:space="preserve">Held at 6.8% NOPLAT, no plausible growth path justifies the price at 11.5%: the solver runs past 80% CAGR.</w:t>
      </w:r>
    </w:p>
    <w:p>
      <w:r>
        <w:rPr>
          <w:b/>
          <w:bCs/>
        </w:rPr>
        <w:t xml:space="preserve">What has to be true:</w:t>
      </w:r>
    </w:p>
    <w:p>
      <w:r>
        <w:t xml:space="preserve">1. The proprietary-content strategy structurally changes the margin profile from contract-manufacturer (~5–8% EBIT) to component-supplier-like (15%+).</w:t>
      </w:r>
    </w:p>
    <w:p>
      <w:r>
        <w:t xml:space="preserve">2. The WFE upcycle driven by AI, advanced nodes and memory has no digestion year before ~2030.</w:t>
      </w:r>
    </w:p>
    <w:p>
      <w:r>
        <w:t xml:space="preserve">3. Lam and AMAT neither in-source nor dual-source away share.</w:t>
      </w:r>
    </w:p>
    <w:p>
      <w:r>
        <w:rPr>
          <w:b/>
          <w:bCs/>
        </w:rPr>
        <w:t xml:space="preserve">Moat and CAP:</w:t>
      </w:r>
    </w:p>
    <w:p>
      <w:pPr>
        <w:pStyle w:val="ListParagraph"/>
        <w:numPr>
          <w:ilvl w:val="0"/>
          <w:numId w:val="1"/>
        </w:numPr>
      </w:pPr>
      <w:r>
        <w:t xml:space="preserve">Weak switching costs (qualification of subsystems into OEM tools) plus a modest cost advantage (Malaysia, in-house machining).</w:t>
      </w:r>
    </w:p>
    <w:p>
      <w:pPr>
        <w:pStyle w:val="ListParagraph"/>
        <w:numPr>
          <w:ilvl w:val="0"/>
          <w:numId w:val="1"/>
        </w:numPr>
      </w:pPr>
      <w:r>
        <w:t xml:space="preserve">Customer power is extreme (76% from two buyers).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No-to-narrow moat; CAP ~0–3 years.</w:t>
      </w:r>
      <w:r>
        <w:t xml:space="preserve"> Any margin gains are conditional on the proprietary-content milestone, not already earned.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#5/#6 Margins:</w:t>
      </w:r>
    </w:p>
    <w:p>
      <w:r>
        <w:t xml:space="preserve">  - Positive direction: GM 9.3% (FY25) → 14.1% (Q2-26); in-house content targeted at 35%.</w:t>
      </w:r>
    </w:p>
    <w:p>
      <w:r>
        <w:t xml:space="preserve">  - Negative level: still far below the FY22 peak of 16.6%.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#11 Competitive edge:</w:t>
      </w:r>
      <w:r>
        <w:t xml:space="preserve"> negative. 76% customer concentration with sophisticated buyers who set pricing.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#13 Equity financing / dilution:</w:t>
      </w:r>
      <w:r>
        <w:t xml:space="preserve"> negative, and a Fisher red flag. ≈7.7%/yr share growth, with two raises in ~2 years.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#12 Profit outlook:</w:t>
      </w:r>
      <w:r>
        <w:t xml:space="preserve"> near-term strong (Q3 +12% QoQ). The long term depends on the cycle.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#15 Integrity/disclosure:</w:t>
      </w:r>
      <w:r>
        <w:t xml:space="preserve"> no integrity flags. Management was candid about OCF only turning positive in H1-27. Selling $195M of ATM stock at ~$80.70, 43% above today's price, was good capital management, and also a revealed view that the stock was rich.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shd w:fill="D9D9D9" w:val="clear"/>
          </w:tcPr>
          <w:p>
            <w:r>
              <w:t xml:space="preserve">Factor</w:t>
            </w:r>
          </w:p>
        </w:tc>
        <w:tc>
          <w:tcPr>
            <w:tcW w:type="dxa" w:w="5400"/>
            <w:shd w:fill="D9D9D9" w:val="clear"/>
          </w:tcPr>
          <w:p>
            <w:r>
              <w:t xml:space="preserve">Read</w:t>
            </w:r>
          </w:p>
        </w:tc>
      </w:tr>
      <w:tr>
        <w:tc>
          <w:tcPr>
            <w:tcW w:type="dxa" w:w="5400"/>
          </w:tcPr>
          <w:p>
            <w:r>
              <w:t xml:space="preserve">Value</w:t>
            </w:r>
          </w:p>
        </w:tc>
        <w:tc>
          <w:tcPr>
            <w:tcW w:type="dxa" w:w="5400"/>
          </w:tcPr>
          <w:p>
            <w:r>
              <w:t xml:space="preserve">Absent. EV/Revenue ~1.7× FY26E vs 0.7–1.5× history. P/B 2.4×</w:t>
            </w:r>
          </w:p>
        </w:tc>
      </w:tr>
      <w:tr>
        <w:tc>
          <w:tcPr>
            <w:tcW w:type="dxa" w:w="5400"/>
          </w:tcPr>
          <w:p>
            <w:r>
              <w:t xml:space="preserve">Quality</w:t>
            </w:r>
          </w:p>
        </w:tc>
        <w:tc>
          <w:tcPr>
            <w:tcW w:type="dxa" w:w="5400"/>
          </w:tcPr>
          <w:p>
            <w:r>
              <w:t xml:space="preserve">Absent. Negative ROE/ROIC, negative OCF, low gross margin</w:t>
            </w:r>
          </w:p>
        </w:tc>
      </w:tr>
      <w:tr>
        <w:tc>
          <w:tcPr>
            <w:tcW w:type="dxa" w:w="5400"/>
          </w:tcPr>
          <w:p>
            <w:r>
              <w:t xml:space="preserve">Momentum</w:t>
            </w:r>
          </w:p>
        </w:tc>
        <w:tc>
          <w:tcPr>
            <w:tcW w:type="dxa" w:w="5400"/>
          </w:tcPr>
          <w:p>
            <w:r>
              <w:t xml:space="preserve">Mixed-to-negative. 12-1 month +210%, but −41% over 3 months. Now at the 200-day average</w:t>
            </w:r>
          </w:p>
        </w:tc>
      </w:tr>
      <w:tr>
        <w:tc>
          <w:tcPr>
            <w:tcW w:type="dxa" w:w="5400"/>
          </w:tcPr>
          <w:p>
            <w:r>
              <w:t xml:space="preserve">Low Beta</w:t>
            </w:r>
          </w:p>
        </w:tc>
        <w:tc>
          <w:tcPr>
            <w:tcW w:type="dxa" w:w="5400"/>
          </w:tcPr>
          <w:p>
            <w:r>
              <w:t xml:space="preserve">Absent. Beta 1.81</w:t>
            </w:r>
          </w:p>
        </w:tc>
      </w:tr>
    </w:tbl>
    <w:p>
      <w:r>
        <w:rPr>
          <w:b/>
          <w:bCs/>
        </w:rPr>
        <w:t xml:space="preserve">Net:</w:t>
      </w:r>
      <w:r>
        <w:t xml:space="preserve"> no overlapping factor tailwind. The long-term momentum is the only positive, and it is decaying.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Criterion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Result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Evidence</w:t>
            </w:r>
          </w:p>
        </w:tc>
      </w:tr>
      <w:tr>
        <w:tc>
          <w:tcPr>
            <w:tcW w:type="dxa" w:w="3600"/>
          </w:tcPr>
          <w:p>
            <w:r>
              <w:t xml:space="preserve">ROIC 5-yr avg &gt; 15%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FY22 ~8.2%; negative FY23–FY25</w:t>
            </w:r>
          </w:p>
        </w:tc>
      </w:tr>
      <w:tr>
        <w:tc>
          <w:tcPr>
            <w:tcW w:type="dxa" w:w="3600"/>
          </w:tcPr>
          <w:p>
            <w:r>
              <w:t xml:space="preserve">ROIC trend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Improving from the FY25 trough (op. income −$39M → TTM ≈ +$28M)</w:t>
            </w:r>
          </w:p>
        </w:tc>
      </w:tr>
      <w:tr>
        <w:tc>
          <w:tcPr>
            <w:tcW w:type="dxa" w:w="3600"/>
          </w:tcPr>
          <w:p>
            <w:r>
              <w:t xml:space="preserve">Operating margin &gt; 15%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2.8% TTM (yfinance); GAAP Q2-26 2.4%</w:t>
            </w:r>
          </w:p>
        </w:tc>
      </w:tr>
      <w:tr>
        <w:tc>
          <w:tcPr>
            <w:tcW w:type="dxa" w:w="3600"/>
          </w:tcPr>
          <w:p>
            <w:r>
              <w:t xml:space="preserve">FCF conversion &gt; 80%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FCF −$6.3M FY25; OCF negative in 2026</w:t>
            </w:r>
          </w:p>
        </w:tc>
      </w:tr>
      <w:tr>
        <w:tc>
          <w:tcPr>
            <w:tcW w:type="dxa" w:w="3600"/>
          </w:tcPr>
          <w:p>
            <w:r>
              <w:t xml:space="preserve">CapEx/revenue &lt; 10%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~3% (rising in H2-26)</w:t>
            </w:r>
          </w:p>
        </w:tc>
      </w:tr>
      <w:tr>
        <w:tc>
          <w:tcPr>
            <w:tcW w:type="dxa" w:w="3600"/>
          </w:tcPr>
          <w:p>
            <w:r>
              <w:t xml:space="preserve">Self-funded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+30% shares since FY22 (2024 raise, 2026 ATM)</w:t>
            </w:r>
          </w:p>
        </w:tc>
      </w:tr>
      <w:tr>
        <w:tc>
          <w:tcPr>
            <w:tcW w:type="dxa" w:w="3600"/>
          </w:tcPr>
          <w:p>
            <w:r>
              <w:t xml:space="preserve">Management ownership</w:t>
            </w:r>
          </w:p>
        </w:tc>
        <w:tc>
          <w:tcPr>
            <w:tcW w:type="dxa" w:w="3600"/>
          </w:tcPr>
          <w:p>
            <w:r>
              <w:t xml:space="preserve">❓ Not verified</w:t>
            </w:r>
          </w:p>
        </w:tc>
        <w:tc>
          <w:tcPr>
            <w:tcW w:type="dxa" w:w="3600"/>
          </w:tcPr>
          <w:p>
            <w:r>
              <w:t xml:space="preserve">Insiders ~1.4% in aggregate. CEO's own stake vs the 0.5% line not confirmed. Not counted</w:t>
            </w:r>
          </w:p>
        </w:tc>
      </w:tr>
      <w:tr>
        <w:tc>
          <w:tcPr>
            <w:tcW w:type="dxa" w:w="3600"/>
          </w:tcPr>
          <w:p>
            <w:r>
              <w:t xml:space="preserve">Buyback discipline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None (issuer, not buyer)</w:t>
            </w:r>
          </w:p>
        </w:tc>
      </w:tr>
      <w:tr>
        <w:tc>
          <w:tcPr>
            <w:tcW w:type="dxa" w:w="3600"/>
          </w:tcPr>
          <w:p>
            <w:r>
              <w:t xml:space="preserve">M&amp;A discipline</w:t>
            </w:r>
          </w:p>
        </w:tc>
        <w:tc>
          <w:tcPr>
            <w:tcW w:type="dxa" w:w="3600"/>
          </w:tcPr>
          <w:p>
            <w:r>
              <w:t xml:space="preserve">✅ Pass (marginal)</w:t>
            </w:r>
          </w:p>
        </w:tc>
        <w:tc>
          <w:tcPr>
            <w:tcW w:type="dxa" w:w="3600"/>
          </w:tcPr>
          <w:p>
            <w:r>
              <w:t xml:space="preserve">Goodwill+intangibles $376M = 39.9% of FY25 assets, just under the 40% flag. Lower post-ATM</w:t>
            </w:r>
          </w:p>
        </w:tc>
      </w:tr>
    </w:tbl>
    <w:p>
      <w:r>
        <w:rPr>
          <w:b/>
          <w:bCs/>
        </w:rPr>
        <w:t xml:space="preserve">3/9 counted → TRADE ONLY.</w:t>
      </w:r>
      <w:r>
        <w:t xml:space="preserve"> If the CEO-ownership criterion were confirmed it would be 4/9, borderline QUALITY. Either way the MoS Gate is NONE, so the long-term label cannot be earned at this price.</w:t>
      </w:r>
    </w:p>
    <w:p>
      <w:pPr>
        <w:pStyle w:val="Heading2"/>
        <w:spacing w:after="120" w:before="240"/>
      </w:pPr>
      <w:r>
        <w:t xml:space="preserve">10. Sector Appendix — Semiconductors (applied to a subsystem supplier)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Current 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Read</w:t>
            </w:r>
          </w:p>
        </w:tc>
      </w:tr>
      <w:tr>
        <w:tc>
          <w:tcPr>
            <w:tcW w:type="dxa" w:w="3600"/>
          </w:tcPr>
          <w:p>
            <w:r>
              <w:t xml:space="preserve">Gross margin</w:t>
            </w:r>
          </w:p>
        </w:tc>
        <w:tc>
          <w:tcPr>
            <w:tcW w:type="dxa" w:w="3600"/>
          </w:tcPr>
          <w:p>
            <w:r>
              <w:t xml:space="preserve">14.1% (Q2-26 non-GAAP)</w:t>
            </w:r>
          </w:p>
        </w:tc>
        <w:tc>
          <w:tcPr>
            <w:tcW w:type="dxa" w:w="3600"/>
          </w:tcPr>
          <w:p>
            <w:r>
              <w:t xml:space="preserve">Far below IDM/foundry "strong" (&gt;45%) and flag (&lt;35%) lines: contract-manufacturer economics</w:t>
            </w:r>
          </w:p>
        </w:tc>
      </w:tr>
      <w:tr>
        <w:tc>
          <w:tcPr>
            <w:tcW w:type="dxa" w:w="3600"/>
          </w:tcPr>
          <w:p>
            <w:r>
              <w:t xml:space="preserve">Customer concentration</w:t>
            </w:r>
          </w:p>
        </w:tc>
        <w:tc>
          <w:tcPr>
            <w:tcW w:type="dxa" w:w="3600"/>
          </w:tcPr>
          <w:p>
            <w:r>
              <w:t xml:space="preserve">Lam + AMAT 76% (FY25)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Flag.</w:t>
            </w:r>
            <w:r>
              <w:t xml:space="preserve"> Both individually &gt;10%, very likely &gt;20% each (key-customer risk)</w:t>
            </w:r>
          </w:p>
        </w:tc>
      </w:tr>
      <w:tr>
        <w:tc>
          <w:tcPr>
            <w:tcW w:type="dxa" w:w="3600"/>
          </w:tcPr>
          <w:p>
            <w:r>
              <w:t xml:space="preserve">Inventory days</w:t>
            </w:r>
          </w:p>
        </w:tc>
        <w:tc>
          <w:tcPr>
            <w:tcW w:type="dxa" w:w="3600"/>
          </w:tcPr>
          <w:p>
            <w:r>
              <w:t xml:space="preserve">98 days (FY25) vs 122 (FY24)</w:t>
            </w:r>
          </w:p>
        </w:tc>
        <w:tc>
          <w:tcPr>
            <w:tcW w:type="dxa" w:w="3600"/>
          </w:tcPr>
          <w:p>
            <w:r>
              <w:t xml:space="preserve">Improving: demand recovering</w:t>
            </w:r>
          </w:p>
        </w:tc>
      </w:tr>
      <w:tr>
        <w:tc>
          <w:tcPr>
            <w:tcW w:type="dxa" w:w="3600"/>
          </w:tcPr>
          <w:p>
            <w:r>
              <w:t xml:space="preserve">CapEx / revenue</w:t>
            </w:r>
          </w:p>
        </w:tc>
        <w:tc>
          <w:tcPr>
            <w:tcW w:type="dxa" w:w="3600"/>
          </w:tcPr>
          <w:p>
            <w:r>
              <w:t xml:space="preserve">~3%</w:t>
            </w:r>
          </w:p>
        </w:tc>
        <w:tc>
          <w:tcPr>
            <w:tcW w:type="dxa" w:w="3600"/>
          </w:tcPr>
          <w:p>
            <w:r>
              <w:t xml:space="preserve">Low. Rising in H2-26 for clean room and machining</w:t>
            </w:r>
          </w:p>
        </w:tc>
      </w:tr>
      <w:tr>
        <w:tc>
          <w:tcPr>
            <w:tcW w:type="dxa" w:w="3600"/>
          </w:tcPr>
          <w:p>
            <w:r>
              <w:t xml:space="preserve">AI/data-centre revenue %</w:t>
            </w:r>
          </w:p>
        </w:tc>
        <w:tc>
          <w:tcPr>
            <w:tcW w:type="dxa" w:w="3600"/>
          </w:tcPr>
          <w:p>
            <w:r>
              <w:t xml:space="preserve">Not disclosed</w:t>
            </w:r>
          </w:p>
        </w:tc>
        <w:tc>
          <w:tcPr>
            <w:tcW w:type="dxa" w:w="3600"/>
          </w:tcPr>
          <w:p>
            <w:r>
              <w:t xml:space="preserve">Management cites AI, advanced nodes and memory as drivers. No split available</w:t>
            </w:r>
          </w:p>
        </w:tc>
      </w:tr>
      <w:tr>
        <w:tc>
          <w:tcPr>
            <w:tcW w:type="dxa" w:w="3600"/>
          </w:tcPr>
          <w:p>
            <w:r>
              <w:t xml:space="preserve">Book-to-bill</w:t>
            </w:r>
          </w:p>
        </w:tc>
        <w:tc>
          <w:tcPr>
            <w:tcW w:type="dxa" w:w="3600"/>
          </w:tcPr>
          <w:p>
            <w:r>
              <w:t xml:space="preserve">Not disclosed</w:t>
            </w:r>
          </w:p>
        </w:tc>
        <w:tc>
          <w:tcPr>
            <w:tcW w:type="dxa" w:w="3600"/>
          </w:tcPr>
          <w:p>
            <w:r>
              <w:t xml:space="preserve">n/a</w:t>
            </w:r>
          </w:p>
        </w:tc>
      </w:tr>
      <w:tr>
        <w:tc>
          <w:tcPr>
            <w:tcW w:type="dxa" w:w="3600"/>
          </w:tcPr>
          <w:p>
            <w:r>
              <w:t xml:space="preserve">Dilution</w:t>
            </w:r>
          </w:p>
        </w:tc>
        <w:tc>
          <w:tcPr>
            <w:tcW w:type="dxa" w:w="3600"/>
          </w:tcPr>
          <w:p>
            <w:r>
              <w:t xml:space="preserve">≈7.7%/yr</w:t>
            </w:r>
          </w:p>
        </w:tc>
        <w:tc>
          <w:tcPr>
            <w:tcW w:type="dxa" w:w="3600"/>
          </w:tcPr>
          <w:p>
            <w:r>
              <w:t xml:space="preserve">Above the 5% Space/Semis warning line</w:t>
            </w:r>
          </w:p>
        </w:tc>
      </w:tr>
    </w:tbl>
    <w:p>
      <w:pPr>
        <w:pStyle w:val="Heading2"/>
        <w:spacing w:after="120" w:before="240"/>
      </w:pPr>
      <w:r>
        <w:t xml:space="preserve">11. Five-Year Ratio Trend Analysis</w:t>
      </w:r>
    </w:p>
    <w:p>
      <w:r>
        <w:t xml:space="preserve">Only four fiscal years (FY22–FY25) plus TTM are available from the data source (yfinance). FY21 is not available and is not padded.</w:t>
      </w:r>
    </w:p>
    <w:p>
      <w:pPr>
        <w:pStyle w:val="Heading3"/>
        <w:spacing w:after="100" w:before="200"/>
      </w:pPr>
      <w:r>
        <w:t xml:space="preserve">Base Ratio Table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FY2022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FY2023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FY2024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FY2025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TTM</w:t>
            </w:r>
          </w:p>
        </w:tc>
      </w:tr>
      <w:tr>
        <w:tc>
          <w:tcPr>
            <w:tcW w:type="dxa" w:w="1800"/>
          </w:tcPr>
          <w:p>
            <w:r>
              <w:t xml:space="preserve">Revenue</w:t>
            </w:r>
          </w:p>
        </w:tc>
        <w:tc>
          <w:tcPr>
            <w:tcW w:type="dxa" w:w="1800"/>
          </w:tcPr>
          <w:p>
            <w:r>
              <w:t xml:space="preserve">$1,280M</w:t>
            </w:r>
          </w:p>
        </w:tc>
        <w:tc>
          <w:tcPr>
            <w:tcW w:type="dxa" w:w="1800"/>
          </w:tcPr>
          <w:p>
            <w:r>
              <w:t xml:space="preserve">$811M</w:t>
            </w:r>
          </w:p>
        </w:tc>
        <w:tc>
          <w:tcPr>
            <w:tcW w:type="dxa" w:w="1800"/>
          </w:tcPr>
          <w:p>
            <w:r>
              <w:t xml:space="preserve">$849M</w:t>
            </w:r>
          </w:p>
        </w:tc>
        <w:tc>
          <w:tcPr>
            <w:tcW w:type="dxa" w:w="1800"/>
          </w:tcPr>
          <w:p>
            <w:r>
              <w:t xml:space="preserve">$948M</w:t>
            </w:r>
          </w:p>
        </w:tc>
        <w:tc>
          <w:tcPr>
            <w:tcW w:type="dxa" w:w="1800"/>
          </w:tcPr>
          <w:p>
            <w:r>
              <w:t xml:space="preserve">$1,014M</w:t>
            </w:r>
          </w:p>
        </w:tc>
      </w:tr>
      <w:tr>
        <w:tc>
          <w:tcPr>
            <w:tcW w:type="dxa" w:w="1800"/>
          </w:tcPr>
          <w:p>
            <w:r>
              <w:t xml:space="preserve">Revenue growth YoY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−36.6%</w:t>
            </w:r>
          </w:p>
        </w:tc>
        <w:tc>
          <w:tcPr>
            <w:tcW w:type="dxa" w:w="1800"/>
          </w:tcPr>
          <w:p>
            <w:r>
              <w:t xml:space="preserve">+4.7%</w:t>
            </w:r>
          </w:p>
        </w:tc>
        <w:tc>
          <w:tcPr>
            <w:tcW w:type="dxa" w:w="1800"/>
          </w:tcPr>
          <w:p>
            <w:r>
              <w:t xml:space="preserve">+11.6%</w:t>
            </w:r>
          </w:p>
        </w:tc>
        <w:tc>
          <w:tcPr>
            <w:tcW w:type="dxa" w:w="1800"/>
          </w:tcPr>
          <w:p>
            <w:r>
              <w:t xml:space="preserve">+22.7% (latest Q y/y)</w:t>
            </w:r>
          </w:p>
        </w:tc>
      </w:tr>
      <w:tr>
        <w:tc>
          <w:tcPr>
            <w:tcW w:type="dxa" w:w="1800"/>
          </w:tcPr>
          <w:p>
            <w:r>
              <w:t xml:space="preserve">Gross margin</w:t>
            </w:r>
          </w:p>
        </w:tc>
        <w:tc>
          <w:tcPr>
            <w:tcW w:type="dxa" w:w="1800"/>
          </w:tcPr>
          <w:p>
            <w:r>
              <w:t xml:space="preserve">16.6%</w:t>
            </w:r>
          </w:p>
        </w:tc>
        <w:tc>
          <w:tcPr>
            <w:tcW w:type="dxa" w:w="1800"/>
          </w:tcPr>
          <w:p>
            <w:r>
              <w:t xml:space="preserve">12.7%</w:t>
            </w:r>
          </w:p>
        </w:tc>
        <w:tc>
          <w:tcPr>
            <w:tcW w:type="dxa" w:w="1800"/>
          </w:tcPr>
          <w:p>
            <w:r>
              <w:t xml:space="preserve">12.2%</w:t>
            </w:r>
          </w:p>
        </w:tc>
        <w:tc>
          <w:tcPr>
            <w:tcW w:type="dxa" w:w="1800"/>
          </w:tcPr>
          <w:p>
            <w:r>
              <w:t xml:space="preserve">9.3%</w:t>
            </w:r>
          </w:p>
        </w:tc>
        <w:tc>
          <w:tcPr>
            <w:tcW w:type="dxa" w:w="1800"/>
          </w:tcPr>
          <w:p>
            <w:r>
              <w:t xml:space="preserve">10.4%</w:t>
            </w:r>
          </w:p>
        </w:tc>
      </w:tr>
      <w:tr>
        <w:tc>
          <w:tcPr>
            <w:tcW w:type="dxa" w:w="1800"/>
          </w:tcPr>
          <w:p>
            <w:r>
              <w:t xml:space="preserve">EBITDA margin</w:t>
            </w:r>
          </w:p>
        </w:tc>
        <w:tc>
          <w:tcPr>
            <w:tcW w:type="dxa" w:w="1800"/>
          </w:tcPr>
          <w:p>
            <w:r>
              <w:t xml:space="preserve">9.5%</w:t>
            </w:r>
          </w:p>
        </w:tc>
        <w:tc>
          <w:tcPr>
            <w:tcW w:type="dxa" w:w="1800"/>
          </w:tcPr>
          <w:p>
            <w:r>
              <w:t xml:space="preserve">2.8%</w:t>
            </w:r>
          </w:p>
        </w:tc>
        <w:tc>
          <w:tcPr>
            <w:tcW w:type="dxa" w:w="1800"/>
          </w:tcPr>
          <w:p>
            <w:r>
              <w:t xml:space="preserve">2.6%</w:t>
            </w:r>
          </w:p>
        </w:tc>
        <w:tc>
          <w:tcPr>
            <w:tcW w:type="dxa" w:w="1800"/>
          </w:tcPr>
          <w:p>
            <w:r>
              <w:t xml:space="preserve">−0.8%</w:t>
            </w:r>
          </w:p>
        </w:tc>
        <w:tc>
          <w:tcPr>
            <w:tcW w:type="dxa" w:w="1800"/>
          </w:tcPr>
          <w:p>
            <w:r>
              <w:t xml:space="preserve">0.6%</w:t>
            </w:r>
          </w:p>
        </w:tc>
      </w:tr>
      <w:tr>
        <w:tc>
          <w:tcPr>
            <w:tcW w:type="dxa" w:w="1800"/>
          </w:tcPr>
          <w:p>
            <w:r>
              <w:t xml:space="preserve">Net margin</w:t>
            </w:r>
          </w:p>
        </w:tc>
        <w:tc>
          <w:tcPr>
            <w:tcW w:type="dxa" w:w="1800"/>
          </w:tcPr>
          <w:p>
            <w:r>
              <w:t xml:space="preserve">5.7%</w:t>
            </w:r>
          </w:p>
        </w:tc>
        <w:tc>
          <w:tcPr>
            <w:tcW w:type="dxa" w:w="1800"/>
          </w:tcPr>
          <w:p>
            <w:r>
              <w:t xml:space="preserve">−5.3%</w:t>
            </w:r>
          </w:p>
        </w:tc>
        <w:tc>
          <w:tcPr>
            <w:tcW w:type="dxa" w:w="1800"/>
          </w:tcPr>
          <w:p>
            <w:r>
              <w:t xml:space="preserve">−2.5%</w:t>
            </w:r>
          </w:p>
        </w:tc>
        <w:tc>
          <w:tcPr>
            <w:tcW w:type="dxa" w:w="1800"/>
          </w:tcPr>
          <w:p>
            <w:r>
              <w:t xml:space="preserve">−5.6%</w:t>
            </w:r>
          </w:p>
        </w:tc>
        <w:tc>
          <w:tcPr>
            <w:tcW w:type="dxa" w:w="1800"/>
          </w:tcPr>
          <w:p>
            <w:r>
              <w:t xml:space="preserve">−4.0%</w:t>
            </w:r>
          </w:p>
        </w:tc>
      </w:tr>
      <w:tr>
        <w:tc>
          <w:tcPr>
            <w:tcW w:type="dxa" w:w="1800"/>
          </w:tcPr>
          <w:p>
            <w:r>
              <w:t xml:space="preserve">ROE</w:t>
            </w:r>
          </w:p>
        </w:tc>
        <w:tc>
          <w:tcPr>
            <w:tcW w:type="dxa" w:w="1800"/>
          </w:tcPr>
          <w:p>
            <w:r>
              <w:t xml:space="preserve">12.4%</w:t>
            </w:r>
          </w:p>
        </w:tc>
        <w:tc>
          <w:tcPr>
            <w:tcW w:type="dxa" w:w="1800"/>
          </w:tcPr>
          <w:p>
            <w:r>
              <w:t xml:space="preserve">−7.5%</w:t>
            </w:r>
          </w:p>
        </w:tc>
        <w:tc>
          <w:tcPr>
            <w:tcW w:type="dxa" w:w="1800"/>
          </w:tcPr>
          <w:p>
            <w:r>
              <w:t xml:space="preserve">−3.3%</w:t>
            </w:r>
          </w:p>
        </w:tc>
        <w:tc>
          <w:tcPr>
            <w:tcW w:type="dxa" w:w="1800"/>
          </w:tcPr>
          <w:p>
            <w:r>
              <w:t xml:space="preserve">−7.7%</w:t>
            </w:r>
          </w:p>
        </w:tc>
        <w:tc>
          <w:tcPr>
            <w:tcW w:type="dxa" w:w="1800"/>
          </w:tcPr>
          <w:p>
            <w:r>
              <w:t xml:space="preserve">−4.7%</w:t>
            </w:r>
          </w:p>
        </w:tc>
      </w:tr>
      <w:tr>
        <w:tc>
          <w:tcPr>
            <w:tcW w:type="dxa" w:w="1800"/>
          </w:tcPr>
          <w:p>
            <w:r>
              <w:t xml:space="preserve">P/E</w:t>
            </w:r>
          </w:p>
        </w:tc>
        <w:tc>
          <w:tcPr>
            <w:tcW w:type="dxa" w:w="1800"/>
          </w:tcPr>
          <w:p>
            <w:r>
              <w:t xml:space="preserve">10.6×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</w:tr>
      <w:tr>
        <w:tc>
          <w:tcPr>
            <w:tcW w:type="dxa" w:w="1800"/>
          </w:tcPr>
          <w:p>
            <w:r>
              <w:t xml:space="preserve">P/S</w:t>
            </w:r>
          </w:p>
        </w:tc>
        <w:tc>
          <w:tcPr>
            <w:tcW w:type="dxa" w:w="1800"/>
          </w:tcPr>
          <w:p>
            <w:r>
              <w:t xml:space="preserve">0.6×</w:t>
            </w:r>
          </w:p>
        </w:tc>
        <w:tc>
          <w:tcPr>
            <w:tcW w:type="dxa" w:w="1800"/>
          </w:tcPr>
          <w:p>
            <w:r>
              <w:t xml:space="preserve">1.2×</w:t>
            </w:r>
          </w:p>
        </w:tc>
        <w:tc>
          <w:tcPr>
            <w:tcW w:type="dxa" w:w="1800"/>
          </w:tcPr>
          <w:p>
            <w:r>
              <w:t xml:space="preserve">1.3×</w:t>
            </w:r>
          </w:p>
        </w:tc>
        <w:tc>
          <w:tcPr>
            <w:tcW w:type="dxa" w:w="1800"/>
          </w:tcPr>
          <w:p>
            <w:r>
              <w:t xml:space="preserve">0.7×</w:t>
            </w:r>
          </w:p>
        </w:tc>
        <w:tc>
          <w:tcPr>
            <w:tcW w:type="dxa" w:w="1800"/>
          </w:tcPr>
          <w:p>
            <w:r>
              <w:t xml:space="preserve">2.1×</w:t>
            </w:r>
          </w:p>
        </w:tc>
      </w:tr>
      <w:tr>
        <w:tc>
          <w:tcPr>
            <w:tcW w:type="dxa" w:w="1800"/>
          </w:tcPr>
          <w:p>
            <w:r>
              <w:t xml:space="preserve">P/B</w:t>
            </w:r>
          </w:p>
        </w:tc>
        <w:tc>
          <w:tcPr>
            <w:tcW w:type="dxa" w:w="1800"/>
          </w:tcPr>
          <w:p>
            <w:r>
              <w:t xml:space="preserve">1.3×</w:t>
            </w:r>
          </w:p>
        </w:tc>
        <w:tc>
          <w:tcPr>
            <w:tcW w:type="dxa" w:w="1800"/>
          </w:tcPr>
          <w:p>
            <w:r>
              <w:t xml:space="preserve">1.8×</w:t>
            </w:r>
          </w:p>
        </w:tc>
        <w:tc>
          <w:tcPr>
            <w:tcW w:type="dxa" w:w="1800"/>
          </w:tcPr>
          <w:p>
            <w:r>
              <w:t xml:space="preserve">1.6×</w:t>
            </w:r>
          </w:p>
        </w:tc>
        <w:tc>
          <w:tcPr>
            <w:tcW w:type="dxa" w:w="1800"/>
          </w:tcPr>
          <w:p>
            <w:r>
              <w:t xml:space="preserve">1.0×</w:t>
            </w:r>
          </w:p>
        </w:tc>
        <w:tc>
          <w:tcPr>
            <w:tcW w:type="dxa" w:w="1800"/>
          </w:tcPr>
          <w:p>
            <w:r>
              <w:t xml:space="preserve">2.4×</w:t>
            </w:r>
          </w:p>
        </w:tc>
      </w:tr>
      <w:tr>
        <w:tc>
          <w:tcPr>
            <w:tcW w:type="dxa" w:w="1800"/>
          </w:tcPr>
          <w:p>
            <w:r>
              <w:t xml:space="preserve">EV/Revenue</w:t>
            </w:r>
          </w:p>
        </w:tc>
        <w:tc>
          <w:tcPr>
            <w:tcW w:type="dxa" w:w="1800"/>
          </w:tcPr>
          <w:p>
            <w:r>
              <w:t xml:space="preserve">0.8×</w:t>
            </w:r>
          </w:p>
        </w:tc>
        <w:tc>
          <w:tcPr>
            <w:tcW w:type="dxa" w:w="1800"/>
          </w:tcPr>
          <w:p>
            <w:r>
              <w:t xml:space="preserve">1.5×</w:t>
            </w:r>
          </w:p>
        </w:tc>
        <w:tc>
          <w:tcPr>
            <w:tcW w:type="dxa" w:w="1800"/>
          </w:tcPr>
          <w:p>
            <w:r>
              <w:t xml:space="preserve">1.4×</w:t>
            </w:r>
          </w:p>
        </w:tc>
        <w:tc>
          <w:tcPr>
            <w:tcW w:type="dxa" w:w="1800"/>
          </w:tcPr>
          <w:p>
            <w:r>
              <w:t xml:space="preserve">0.7×</w:t>
            </w:r>
          </w:p>
        </w:tc>
        <w:tc>
          <w:tcPr>
            <w:tcW w:type="dxa" w:w="1800"/>
          </w:tcPr>
          <w:p>
            <w:r>
              <w:t xml:space="preserve">2.0×</w:t>
            </w:r>
          </w:p>
        </w:tc>
      </w:tr>
      <w:tr>
        <w:tc>
          <w:tcPr>
            <w:tcW w:type="dxa" w:w="1800"/>
          </w:tcPr>
          <w:p>
            <w:r>
              <w:t xml:space="preserve">EV/EBITDA</w:t>
            </w:r>
          </w:p>
        </w:tc>
        <w:tc>
          <w:tcPr>
            <w:tcW w:type="dxa" w:w="1800"/>
          </w:tcPr>
          <w:p>
            <w:r>
              <w:t xml:space="preserve">8.5×</w:t>
            </w:r>
          </w:p>
        </w:tc>
        <w:tc>
          <w:tcPr>
            <w:tcW w:type="dxa" w:w="1800"/>
          </w:tcPr>
          <w:p>
            <w:r>
              <w:t xml:space="preserve">52.3×</w:t>
            </w:r>
          </w:p>
        </w:tc>
        <w:tc>
          <w:tcPr>
            <w:tcW w:type="dxa" w:w="1800"/>
          </w:tcPr>
          <w:p>
            <w:r>
              <w:t xml:space="preserve">52.7×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 (321×, distorted by near-zero TTM EBITDA)</w:t>
            </w:r>
          </w:p>
        </w:tc>
      </w:tr>
      <w:tr>
        <w:tc>
          <w:tcPr>
            <w:tcW w:type="dxa" w:w="1800"/>
          </w:tcPr>
          <w:p>
            <w:r>
              <w:t xml:space="preserve">Debt/Equity</w:t>
            </w:r>
          </w:p>
        </w:tc>
        <w:tc>
          <w:tcPr>
            <w:tcW w:type="dxa" w:w="1800"/>
          </w:tcPr>
          <w:p>
            <w:r>
              <w:t xml:space="preserve">0.6</w:t>
            </w:r>
          </w:p>
        </w:tc>
        <w:tc>
          <w:tcPr>
            <w:tcW w:type="dxa" w:w="1800"/>
          </w:tcPr>
          <w:p>
            <w:r>
              <w:t xml:space="preserve">0.5</w:t>
            </w:r>
          </w:p>
        </w:tc>
        <w:tc>
          <w:tcPr>
            <w:tcW w:type="dxa" w:w="1800"/>
          </w:tcPr>
          <w:p>
            <w:r>
              <w:t xml:space="preserve">0.2</w:t>
            </w:r>
          </w:p>
        </w:tc>
        <w:tc>
          <w:tcPr>
            <w:tcW w:type="dxa" w:w="1800"/>
          </w:tcPr>
          <w:p>
            <w:r>
              <w:t xml:space="preserve">0.2</w:t>
            </w:r>
          </w:p>
        </w:tc>
        <w:tc>
          <w:tcPr>
            <w:tcW w:type="dxa" w:w="1800"/>
          </w:tcPr>
          <w:p>
            <w:r>
              <w:t xml:space="preserve">0.2</w:t>
            </w:r>
          </w:p>
        </w:tc>
      </w:tr>
      <w:tr>
        <w:tc>
          <w:tcPr>
            <w:tcW w:type="dxa" w:w="1800"/>
          </w:tcPr>
          <w:p>
            <w:r>
              <w:t xml:space="preserve">Net cash / (net debt)</w:t>
            </w:r>
          </w:p>
        </w:tc>
        <w:tc>
          <w:tcPr>
            <w:tcW w:type="dxa" w:w="1800"/>
          </w:tcPr>
          <w:p>
            <w:r>
              <w:t xml:space="preserve">($255M)</w:t>
            </w:r>
          </w:p>
        </w:tc>
        <w:tc>
          <w:tcPr>
            <w:tcW w:type="dxa" w:w="1800"/>
          </w:tcPr>
          <w:p>
            <w:r>
              <w:t xml:space="preserve">($206M)</w:t>
            </w:r>
          </w:p>
        </w:tc>
        <w:tc>
          <w:tcPr>
            <w:tcW w:type="dxa" w:w="1800"/>
          </w:tcPr>
          <w:p>
            <w:r>
              <w:t xml:space="preserve">($66M)</w:t>
            </w:r>
          </w:p>
        </w:tc>
        <w:tc>
          <w:tcPr>
            <w:tcW w:type="dxa" w:w="1800"/>
          </w:tcPr>
          <w:p>
            <w:r>
              <w:t xml:space="preserve">($62M)</w:t>
            </w:r>
          </w:p>
        </w:tc>
        <w:tc>
          <w:tcPr>
            <w:tcW w:type="dxa" w:w="1800"/>
          </w:tcPr>
          <w:p>
            <w:r>
              <w:t xml:space="preserve">+$102M (incl. leases; +$136M ex-leases)</w:t>
            </w:r>
          </w:p>
        </w:tc>
      </w:tr>
      <w:tr>
        <w:tc>
          <w:tcPr>
            <w:tcW w:type="dxa" w:w="1800"/>
          </w:tcPr>
          <w:p>
            <w:r>
              <w:t xml:space="preserve">FCF margin</w:t>
            </w:r>
          </w:p>
        </w:tc>
        <w:tc>
          <w:tcPr>
            <w:tcW w:type="dxa" w:w="1800"/>
          </w:tcPr>
          <w:p>
            <w:r>
              <w:t xml:space="preserve">0.2%</w:t>
            </w:r>
          </w:p>
        </w:tc>
        <w:tc>
          <w:tcPr>
            <w:tcW w:type="dxa" w:w="1800"/>
          </w:tcPr>
          <w:p>
            <w:r>
              <w:t xml:space="preserve">5.2%</w:t>
            </w:r>
          </w:p>
        </w:tc>
        <w:tc>
          <w:tcPr>
            <w:tcW w:type="dxa" w:w="1800"/>
          </w:tcPr>
          <w:p>
            <w:r>
              <w:t xml:space="preserve">1.2%</w:t>
            </w:r>
          </w:p>
        </w:tc>
        <w:tc>
          <w:tcPr>
            <w:tcW w:type="dxa" w:w="1800"/>
          </w:tcPr>
          <w:p>
            <w:r>
              <w:t xml:space="preserve">−0.7%</w:t>
            </w:r>
          </w:p>
        </w:tc>
        <w:tc>
          <w:tcPr>
            <w:tcW w:type="dxa" w:w="1800"/>
          </w:tcPr>
          <w:p>
            <w:r>
              <w:t xml:space="preserve">−2.5%</w:t>
            </w:r>
          </w:p>
        </w:tc>
      </w:tr>
      <w:tr>
        <w:tc>
          <w:tcPr>
            <w:tcW w:type="dxa" w:w="1800"/>
          </w:tcPr>
          <w:p>
            <w:r>
              <w:t xml:space="preserve">Shares</w:t>
            </w:r>
          </w:p>
        </w:tc>
        <w:tc>
          <w:tcPr>
            <w:tcW w:type="dxa" w:w="1800"/>
          </w:tcPr>
          <w:p>
            <w:r>
              <w:t xml:space="preserve">28.9M</w:t>
            </w:r>
          </w:p>
        </w:tc>
        <w:tc>
          <w:tcPr>
            <w:tcW w:type="dxa" w:w="1800"/>
          </w:tcPr>
          <w:p>
            <w:r>
              <w:t xml:space="preserve">29.4M</w:t>
            </w:r>
          </w:p>
        </w:tc>
        <w:tc>
          <w:tcPr>
            <w:tcW w:type="dxa" w:w="1800"/>
          </w:tcPr>
          <w:p>
            <w:r>
              <w:t xml:space="preserve">33.9M</w:t>
            </w:r>
          </w:p>
        </w:tc>
        <w:tc>
          <w:tcPr>
            <w:tcW w:type="dxa" w:w="1800"/>
          </w:tcPr>
          <w:p>
            <w:r>
              <w:t xml:space="preserve">34.4M</w:t>
            </w:r>
          </w:p>
        </w:tc>
        <w:tc>
          <w:tcPr>
            <w:tcW w:type="dxa" w:w="1800"/>
          </w:tcPr>
          <w:p>
            <w:r>
              <w:t xml:space="preserve">37.5M</w:t>
            </w:r>
          </w:p>
        </w:tc>
      </w:tr>
    </w:tbl>
    <w:p>
      <w:pPr>
        <w:pStyle w:val="Heading3"/>
        <w:spacing w:after="100" w:before="200"/>
      </w:pPr>
      <w:r>
        <w:t xml:space="preserve">Sector-Specific Ratio Table (Semi-cap subsystem)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FY2022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FY2023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FY2024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FY2025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TTM / latest</w:t>
            </w:r>
          </w:p>
        </w:tc>
      </w:tr>
      <w:tr>
        <w:tc>
          <w:tcPr>
            <w:tcW w:type="dxa" w:w="1800"/>
          </w:tcPr>
          <w:p>
            <w:r>
              <w:t xml:space="preserve">Gross margin</w:t>
            </w:r>
          </w:p>
        </w:tc>
        <w:tc>
          <w:tcPr>
            <w:tcW w:type="dxa" w:w="1800"/>
          </w:tcPr>
          <w:p>
            <w:r>
              <w:t xml:space="preserve">16.6%</w:t>
            </w:r>
          </w:p>
        </w:tc>
        <w:tc>
          <w:tcPr>
            <w:tcW w:type="dxa" w:w="1800"/>
          </w:tcPr>
          <w:p>
            <w:r>
              <w:t xml:space="preserve">12.7%</w:t>
            </w:r>
          </w:p>
        </w:tc>
        <w:tc>
          <w:tcPr>
            <w:tcW w:type="dxa" w:w="1800"/>
          </w:tcPr>
          <w:p>
            <w:r>
              <w:t xml:space="preserve">12.2%</w:t>
            </w:r>
          </w:p>
        </w:tc>
        <w:tc>
          <w:tcPr>
            <w:tcW w:type="dxa" w:w="1800"/>
          </w:tcPr>
          <w:p>
            <w:r>
              <w:t xml:space="preserve">9.3%</w:t>
            </w:r>
          </w:p>
        </w:tc>
        <w:tc>
          <w:tcPr>
            <w:tcW w:type="dxa" w:w="1800"/>
          </w:tcPr>
          <w:p>
            <w:r>
              <w:t xml:space="preserve">14.1% (Q2-26)</w:t>
            </w:r>
          </w:p>
        </w:tc>
      </w:tr>
      <w:tr>
        <w:tc>
          <w:tcPr>
            <w:tcW w:type="dxa" w:w="1800"/>
          </w:tcPr>
          <w:p>
            <w:r>
              <w:t xml:space="preserve">Operating margin (GAAP)</w:t>
            </w:r>
          </w:p>
        </w:tc>
        <w:tc>
          <w:tcPr>
            <w:tcW w:type="dxa" w:w="1800"/>
          </w:tcPr>
          <w:p>
            <w:r>
              <w:t xml:space="preserve">6.7%</w:t>
            </w:r>
          </w:p>
        </w:tc>
        <w:tc>
          <w:tcPr>
            <w:tcW w:type="dxa" w:w="1800"/>
          </w:tcPr>
          <w:p>
            <w:r>
              <w:t xml:space="preserve">−1.3%</w:t>
            </w:r>
          </w:p>
        </w:tc>
        <w:tc>
          <w:tcPr>
            <w:tcW w:type="dxa" w:w="1800"/>
          </w:tcPr>
          <w:p>
            <w:r>
              <w:t xml:space="preserve">−0.9%</w:t>
            </w:r>
          </w:p>
        </w:tc>
        <w:tc>
          <w:tcPr>
            <w:tcW w:type="dxa" w:w="1800"/>
          </w:tcPr>
          <w:p>
            <w:r>
              <w:t xml:space="preserve">−4.1%</w:t>
            </w:r>
          </w:p>
        </w:tc>
        <w:tc>
          <w:tcPr>
            <w:tcW w:type="dxa" w:w="1800"/>
          </w:tcPr>
          <w:p>
            <w:r>
              <w:t xml:space="preserve">2.4% (Q2-26)</w:t>
            </w:r>
          </w:p>
        </w:tc>
      </w:tr>
      <w:tr>
        <w:tc>
          <w:tcPr>
            <w:tcW w:type="dxa" w:w="1800"/>
          </w:tcPr>
          <w:p>
            <w:r>
              <w:t xml:space="preserve">Inventory days</w:t>
            </w:r>
          </w:p>
        </w:tc>
        <w:tc>
          <w:tcPr>
            <w:tcW w:type="dxa" w:w="1800"/>
          </w:tcPr>
          <w:p>
            <w:r>
              <w:t xml:space="preserve">97</w:t>
            </w:r>
          </w:p>
        </w:tc>
        <w:tc>
          <w:tcPr>
            <w:tcW w:type="dxa" w:w="1800"/>
          </w:tcPr>
          <w:p>
            <w:r>
              <w:t xml:space="preserve">127</w:t>
            </w:r>
          </w:p>
        </w:tc>
        <w:tc>
          <w:tcPr>
            <w:tcW w:type="dxa" w:w="1800"/>
          </w:tcPr>
          <w:p>
            <w:r>
              <w:t xml:space="preserve">122</w:t>
            </w:r>
          </w:p>
        </w:tc>
        <w:tc>
          <w:tcPr>
            <w:tcW w:type="dxa" w:w="1800"/>
          </w:tcPr>
          <w:p>
            <w:r>
              <w:t xml:space="preserve">98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</w:tr>
      <w:tr>
        <w:tc>
          <w:tcPr>
            <w:tcW w:type="dxa" w:w="1800"/>
          </w:tcPr>
          <w:p>
            <w:r>
              <w:t xml:space="preserve">Top-2 customer share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73%</w:t>
            </w:r>
          </w:p>
        </w:tc>
        <w:tc>
          <w:tcPr>
            <w:tcW w:type="dxa" w:w="1800"/>
          </w:tcPr>
          <w:p>
            <w:r>
              <w:t xml:space="preserve">76%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</w:tr>
      <w:tr>
        <w:tc>
          <w:tcPr>
            <w:tcW w:type="dxa" w:w="1800"/>
          </w:tcPr>
          <w:p>
            <w:r>
              <w:t xml:space="preserve">CapEx / revenue</w:t>
            </w:r>
          </w:p>
        </w:tc>
        <w:tc>
          <w:tcPr>
            <w:tcW w:type="dxa" w:w="1800"/>
          </w:tcPr>
          <w:p>
            <w:r>
              <w:t xml:space="preserve">2.3%</w:t>
            </w:r>
          </w:p>
        </w:tc>
        <w:tc>
          <w:tcPr>
            <w:tcW w:type="dxa" w:w="1800"/>
          </w:tcPr>
          <w:p>
            <w:r>
              <w:t xml:space="preserve">1.9%</w:t>
            </w:r>
          </w:p>
        </w:tc>
        <w:tc>
          <w:tcPr>
            <w:tcW w:type="dxa" w:w="1800"/>
          </w:tcPr>
          <w:p>
            <w:r>
              <w:t xml:space="preserve">2.1%</w:t>
            </w:r>
          </w:p>
        </w:tc>
        <w:tc>
          <w:tcPr>
            <w:tcW w:type="dxa" w:w="1800"/>
          </w:tcPr>
          <w:p>
            <w:r>
              <w:t xml:space="preserve">3.8%</w:t>
            </w:r>
          </w:p>
        </w:tc>
        <w:tc>
          <w:tcPr>
            <w:tcW w:type="dxa" w:w="1800"/>
          </w:tcPr>
          <w:p>
            <w:r>
              <w:t xml:space="preserve">~2.6% (Q2-26)</w:t>
            </w:r>
          </w:p>
        </w:tc>
      </w:tr>
      <w:tr>
        <w:tc>
          <w:tcPr>
            <w:tcW w:type="dxa" w:w="1800"/>
          </w:tcPr>
          <w:p>
            <w:r>
              <w:t xml:space="preserve">Share-count growth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+1.7%</w:t>
            </w:r>
          </w:p>
        </w:tc>
        <w:tc>
          <w:tcPr>
            <w:tcW w:type="dxa" w:w="1800"/>
          </w:tcPr>
          <w:p>
            <w:r>
              <w:t xml:space="preserve">+15.3%</w:t>
            </w:r>
          </w:p>
        </w:tc>
        <w:tc>
          <w:tcPr>
            <w:tcW w:type="dxa" w:w="1800"/>
          </w:tcPr>
          <w:p>
            <w:r>
              <w:t xml:space="preserve">+1.5%</w:t>
            </w:r>
          </w:p>
        </w:tc>
        <w:tc>
          <w:tcPr>
            <w:tcW w:type="dxa" w:w="1800"/>
          </w:tcPr>
          <w:p>
            <w:r>
              <w:t xml:space="preserve">+8.9% (vs FY25)</w:t>
            </w:r>
          </w:p>
        </w:tc>
      </w:tr>
    </w:tbl>
    <w:p>
      <w:pPr>
        <w:pStyle w:val="Heading3"/>
        <w:spacing w:after="100" w:before="200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P/S went 0.7× (FY25) → 2.1× (TTM) while TTM gross margin is 10.4%, below FY22's 16.6% when P/S was 0.6×.</w:t>
      </w:r>
      <w:r>
        <w:t xml:space="preserve"> The market is paying ~3.5× the FY22 revenue multiple for a business with lower margins than it had then. This is the Mauboussin tension shown over time: the multiple has expanded far faster than the fundamentals that would justify it.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Gross margin falling from 16.6% to 9.3% over FY22–FY25</w:t>
      </w:r>
      <w:r>
        <w:t xml:space="preserve"> is the hard number behind the Fisher #5 and Compounder operating-margin fails. The Q2-26 recovery to 14.1% is real, but it has not yet regained the prior peak.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Share count +30% since FY22 (two raises)</w:t>
      </w:r>
      <w:r>
        <w:t xml:space="preserve"> is the Fisher #13 red flag and the Compounder self-funding fail in numbers. Per-share value creation lags company-level growth by ~7–8pp a year.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c>
          <w:tcPr>
            <w:tcW w:type="dxa" w:w="981"/>
            <w:shd w:fill="D9D9D9" w:val="clear"/>
          </w:tcPr>
          <w:p>
            <w:r>
              <w:t xml:space="preserve">TICKER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Track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Category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F-Score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F-Rating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DCF Bear-Base-Bull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MoS Gate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Compounder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AI Impact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Horizon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Thesis Invalidation</w:t>
            </w:r>
          </w:p>
        </w:tc>
      </w:tr>
      <w:tr>
        <w:tc>
          <w:tcPr>
            <w:tcW w:type="dxa" w:w="981"/>
          </w:tcPr>
          <w:p>
            <w:r>
              <w:t xml:space="preserve">ICHR</w:t>
            </w:r>
          </w:p>
        </w:tc>
        <w:tc>
          <w:tcPr>
            <w:tcW w:type="dxa" w:w="981"/>
          </w:tcPr>
          <w:p>
            <w:r>
              <w:t xml:space="preserve">B-SM (contract-manufacturer economics)</w:t>
            </w:r>
          </w:p>
        </w:tc>
        <w:tc>
          <w:tcPr>
            <w:tcW w:type="dxa" w:w="981"/>
          </w:tcPr>
          <w:p>
            <w:r>
              <w:t xml:space="preserve">Cyclical</w:t>
            </w:r>
          </w:p>
        </w:tc>
        <w:tc>
          <w:tcPr>
            <w:tcW w:type="dxa" w:w="981"/>
          </w:tcPr>
          <w:p>
            <w:r>
              <w:t xml:space="preserve">45</w:t>
            </w:r>
          </w:p>
        </w:tc>
        <w:tc>
          <w:tcPr>
            <w:tcW w:type="dxa" w:w="981"/>
          </w:tcPr>
          <w:p>
            <w:r>
              <w:t xml:space="preserve">Fair</w:t>
            </w:r>
          </w:p>
        </w:tc>
        <w:tc>
          <w:tcPr>
            <w:tcW w:type="dxa" w:w="981"/>
          </w:tcPr>
          <w:p>
            <w:r>
              <w:t xml:space="preserve">$13.03 / $26.87 / $43.01 (€11.44 / €23.59 / €37.76), WACC 11.5%</w:t>
            </w:r>
          </w:p>
        </w:tc>
        <w:tc>
          <w:tcPr>
            <w:tcW w:type="dxa" w:w="981"/>
          </w:tcPr>
          <w:p>
            <w:r>
              <w:t xml:space="preserve">NONE (price &gt; Bull)</w:t>
            </w:r>
          </w:p>
        </w:tc>
        <w:tc>
          <w:tcPr>
            <w:tcW w:type="dxa" w:w="981"/>
          </w:tcPr>
          <w:p>
            <w:r>
              <w:t xml:space="preserve">TRADE ONLY</w:t>
            </w:r>
          </w:p>
        </w:tc>
        <w:tc>
          <w:tcPr>
            <w:tcW w:type="dxa" w:w="981"/>
          </w:tcPr>
          <w:p>
            <w:r>
              <w:t xml:space="preserve">TAILWIND</w:t>
            </w:r>
          </w:p>
        </w:tc>
        <w:tc>
          <w:tcPr>
            <w:tcW w:type="dxa" w:w="981"/>
          </w:tcPr>
          <w:p>
            <w:r>
              <w:t xml:space="preserve">n/a (not a long-term hold)</w:t>
            </w:r>
          </w:p>
        </w:tc>
        <w:tc>
          <w:tcPr>
            <w:tcW w:type="dxa" w:w="981"/>
          </w:tcPr>
          <w:p>
            <w:r>
              <w:t xml:space="preserve">Gross margin fails to reach ≥ 17% by Q2-27, OR OCF not positive in H1-27 as guided, OR top-2 customer share rises further with no margin gain</w:t>
            </w:r>
          </w:p>
        </w:tc>
      </w:tr>
    </w:tbl>
    <w:p>
      <w:r>
        <w:rPr>
          <w:b/>
          <w:bCs/>
        </w:rPr>
        <w:t xml:space="preserve">What has to be true:</w:t>
      </w:r>
    </w:p>
    <w:p>
      <w:pPr>
        <w:pStyle w:val="ListParagraph"/>
        <w:numPr>
          <w:ilvl w:val="0"/>
          <w:numId w:val="1"/>
        </w:numPr>
      </w:pPr>
      <w:r>
        <w:t xml:space="preserve">Ichor must turn a ~5–8% EBIT contract-manufacturing business into a ~16% EBIT one: proprietary content, Malaysia and in-house machining.</w:t>
      </w:r>
    </w:p>
    <w:p>
      <w:pPr>
        <w:pStyle w:val="ListParagraph"/>
        <w:numPr>
          <w:ilvl w:val="0"/>
          <w:numId w:val="1"/>
        </w:numPr>
      </w:pPr>
      <w:r>
        <w:t xml:space="preserve">It must do so while the WFE upcycle runs uninterrupted, inside an AI-infrastructure trade the macro report places at Kindleberger Stage 3.</w:t>
      </w:r>
    </w:p>
    <w:p>
      <w:pPr>
        <w:pStyle w:val="ListParagraph"/>
        <w:numPr>
          <w:ilvl w:val="0"/>
          <w:numId w:val="1"/>
        </w:numPr>
      </w:pPr>
      <w:r>
        <w:t xml:space="preserve">Both conditions need to hold at once. That is the Mauboussin "simultaneous perfection" red flag.</w:t>
      </w:r>
    </w:p>
    <w:p>
      <w:r>
        <w:rPr>
          <w:b/>
          <w:bCs/>
        </w:rPr>
        <w:t xml:space="preserve">What would most change the verdict:</w:t>
      </w:r>
    </w:p>
    <w:p>
      <w:pPr>
        <w:pStyle w:val="ListParagraph"/>
        <w:numPr>
          <w:ilvl w:val="0"/>
          <w:numId w:val="1"/>
        </w:numPr>
      </w:pPr>
      <w:r>
        <w:t xml:space="preserve">A WFE digestion signal, such as Lam or AMAT guiding down, which would move value toward the Bear case (~$13).</w:t>
      </w:r>
    </w:p>
    <w:p>
      <w:pPr>
        <w:pStyle w:val="ListParagraph"/>
        <w:numPr>
          <w:ilvl w:val="0"/>
          <w:numId w:val="1"/>
        </w:numPr>
      </w:pPr>
      <w:r>
        <w:t xml:space="preserve">Conversely, gross margin printing ≥20% with positive OCF would lift Base toward ~$35–40. Even then, the price would need to fall materially to clear any gate.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2026-09-25T09:08:38.216Z</dcterms:created>
  <dcterms:modified xsi:type="dcterms:W3CDTF">2026-09-25T09:08:38.217Z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