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INTC — Intel Corporation — Long-Term Deep-Dive</w:t>
      </w:r>
    </w:p>
    <w:p>
      <w:r>
        <w:rPr>
          <w:b/>
          <w:bCs/>
        </w:rPr>
        <w:t xml:space="preserve">2026-09-22 | Price: $121.78 (Sept 21, 2026 confirmed close, +12% that session on foundry-demand optimism; Sept 22 intraday range $119.32–$124.09) | Shares out: ~5,043M (June 27, 2026, per 10-Q — does NOT yet reflect the Aug 2026 $20B/$95 offering, ~210M more shares; current count likely ~5,250M+, flagged [EST]) | Market cap: ~$614B (calculated: 5,043M × $121.78; will be higher on the fuller share count) | Total debt: ~$50.5B | Cash + ST investments: ~$29.7B | Net debt: ~$20.8B</w:t>
      </w:r>
    </w:p>
    <w:p>
      <w:r>
        <w:rPr>
          <w:b/>
          <w:bCs/>
        </w:rPr>
        <w:t xml:space="preserve">Data-quality note</w:t>
      </w:r>
      <w:r>
        <w:t xml:space="preserve">: `data/fundamental_data.json` does not actually contain an INTC entry (checked directly — the figure cited in this fork's directive, f_score 21.9/Overvalued/$122.43, was not found in the file as of this session). All figures below are independently sourced via research, dated as cited.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0. Recent Context</w:t>
      </w:r>
    </w:p>
    <w:p>
      <w:r>
        <w:rPr>
          <w:b/>
          <w:bCs/>
        </w:rPr>
        <w:t xml:space="preserve">Last reported quarter — Q2 2026 (ended June 27, 2026), reported July 23, 2026:</w:t>
      </w:r>
    </w:p>
    <w:p>
      <w:pPr>
        <w:pStyle w:val="ListParagraph"/>
        <w:numPr>
          <w:ilvl w:val="0"/>
          <w:numId w:val="1"/>
        </w:numPr>
      </w:pPr>
      <w:r>
        <w:t xml:space="preserve">Revenue </w:t>
      </w:r>
      <w:r>
        <w:rPr>
          <w:b/>
          <w:bCs/>
        </w:rPr>
        <w:t xml:space="preserve">$16.128B, +25.4% YoY</w:t>
      </w:r>
      <w:r>
        <w:t xml:space="preserve"> (vs. ~$12.9B Q2 2025) — Intel's strongest quarterly growth in over 15 years.</w:t>
      </w:r>
    </w:p>
    <w:p>
      <w:pPr>
        <w:pStyle w:val="ListParagraph"/>
        <w:numPr>
          <w:ilvl w:val="0"/>
          <w:numId w:val="1"/>
        </w:numPr>
      </w:pPr>
      <w:r>
        <w:t xml:space="preserve">Segment revenue: </w:t>
      </w:r>
      <w:r>
        <w:rPr>
          <w:b/>
          <w:bCs/>
        </w:rPr>
        <w:t xml:space="preserve">Data Center &amp; AI (DCAI) $6.3B, +59% YoY</w:t>
      </w:r>
      <w:r>
        <w:t xml:space="preserve">, operating margin expanded from 16.1% (Q2'25) to </w:t>
      </w:r>
      <w:r>
        <w:rPr>
          <w:b/>
          <w:bCs/>
        </w:rPr>
        <w:t xml:space="preserve">39.5%</w:t>
      </w:r>
      <w:r>
        <w:t xml:space="preserve"> (Q2'26), operating income $0.6B→$2.5B. </w:t>
      </w:r>
      <w:r>
        <w:rPr>
          <w:b/>
          <w:bCs/>
        </w:rPr>
        <w:t xml:space="preserve">Client Computing (CCG) $8.9B, +13% YoY.</w:t>
      </w:r>
      <w:r>
        <w:t xml:space="preserve"> </w:t>
      </w:r>
      <w:r>
        <w:rPr>
          <w:b/>
          <w:bCs/>
        </w:rPr>
        <w:t xml:space="preserve">Intel Foundry $5.8B</w:t>
      </w:r>
      <w:r>
        <w:t xml:space="preserve"> (up from $4.4B YoY) but still </w:t>
      </w:r>
      <w:r>
        <w:rPr>
          <w:b/>
          <w:bCs/>
        </w:rPr>
        <w:t xml:space="preserve">operating at a $2.1B loss</w:t>
      </w:r>
      <w:r>
        <w:t xml:space="preserve"> — external foundry revenue within that was only </w:t>
      </w:r>
      <w:r>
        <w:rPr>
          <w:b/>
          <w:bCs/>
        </w:rPr>
        <w:t xml:space="preserve">$293M</w:t>
      </w:r>
      <w:r>
        <w:t xml:space="preserve">, i.e. Foundry revenue is still overwhelmingly internal (Intel manufacturing its own chips), not yet a real third-party manufacturing business.</w:t>
      </w:r>
    </w:p>
    <w:p>
      <w:pPr>
        <w:pStyle w:val="ListParagraph"/>
        <w:numPr>
          <w:ilvl w:val="0"/>
          <w:numId w:val="1"/>
        </w:numPr>
      </w:pPr>
      <w:r>
        <w:t xml:space="preserve">AI-driven businesses grew </w:t>
      </w:r>
      <w:r>
        <w:rPr>
          <w:b/>
          <w:bCs/>
        </w:rPr>
        <w:t xml:space="preserve">&gt;70% YoY</w:t>
      </w:r>
      <w:r>
        <w:t xml:space="preserve"> and are now ~70% of total revenue (company's own framing).</w:t>
      </w:r>
    </w:p>
    <w:p>
      <w:pPr>
        <w:pStyle w:val="ListParagraph"/>
        <w:numPr>
          <w:ilvl w:val="0"/>
          <w:numId w:val="1"/>
        </w:numPr>
      </w:pPr>
      <w:r>
        <w:t xml:space="preserve">Non-GAAP gross margin </w:t>
      </w:r>
      <w:r>
        <w:rPr>
          <w:b/>
          <w:bCs/>
        </w:rPr>
        <w:t xml:space="preserve">41.8%</w:t>
      </w:r>
      <w:r>
        <w:t xml:space="preserve">, 280bps above guidance. </w:t>
      </w:r>
      <w:r>
        <w:rPr>
          <w:b/>
          <w:bCs/>
        </w:rPr>
        <w:t xml:space="preserve">Operating income $1.796B — the first positive GAAP operating quarter in Intel's multi-year filing series</w:t>
      </w:r>
      <w:r>
        <w:t xml:space="preserve"> (i.e., real operational inflection, not just an AI-mix story).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GAAP net loss of $11.0B for the quarter</w:t>
      </w:r>
      <w:r>
        <w:t xml:space="preserve"> — but this was driven almost entirely by a </w:t>
      </w:r>
      <w:r>
        <w:rPr>
          <w:b/>
          <w:bCs/>
        </w:rPr>
        <w:t xml:space="preserve">$12.529B non-cash mark-to-market loss on Escrowed Shares</w:t>
      </w:r>
      <w:r>
        <w:t xml:space="preserve"> tied to the CHIPS Act Secure Enclave agreement (explained below). Not an operating loss.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Q3 2026 guidance</w:t>
      </w:r>
      <w:r>
        <w:t xml:space="preserve">: revenue $15.8–16.8B, non-GAAP EPS $0.38, non-GAAP gross margin ~42%. FY2026 CapEx guided </w:t>
      </w:r>
      <w:r>
        <w:rPr>
          <w:b/>
          <w:bCs/>
        </w:rPr>
        <w:t xml:space="preserve">above $20B</w:t>
      </w:r>
      <w:r>
        <w:t xml:space="preserve"> (tooling spend +40% vs. FY2025), "even higher" planned for FY2027 — this is the foundry buildout, not incremental CPU capacity.</w:t>
      </w:r>
    </w:p>
    <w:p>
      <w:r>
        <w:rPr>
          <w:b/>
          <w:bCs/>
        </w:rPr>
        <w:t xml:space="preserve">The government-equity situation, explained (material to every section below):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August 2025</w:t>
      </w:r>
      <w:r>
        <w:t xml:space="preserve">: US Treasury converted $5.7B in unpaid CHIPS Act grants + $3.2B in Secure Enclave program grants into a </w:t>
      </w:r>
      <w:r>
        <w:rPr>
          <w:b/>
          <w:bCs/>
        </w:rPr>
        <w:t xml:space="preserve">9.9% equity stake</w:t>
      </w:r>
      <w:r>
        <w:t xml:space="preserve"> — 433.3M shares at $20.47/share. Passive ownership, no board seat/governance rights, but the government also holds an </w:t>
      </w:r>
      <w:r>
        <w:rPr>
          <w:b/>
          <w:bCs/>
        </w:rPr>
        <w:t xml:space="preserve">unexercised warrant for an additional 5% at $20/share</w:t>
      </w:r>
      <w:r>
        <w:t xml:space="preserve">, triggerable if Intel's foundry ownership ever falls below 51% (i.e., an anti-spin-off/anti-sale deterrent).</w:t>
      </w:r>
    </w:p>
    <w:p>
      <w:pPr>
        <w:pStyle w:val="ListParagraph"/>
        <w:numPr>
          <w:ilvl w:val="0"/>
          <w:numId w:val="1"/>
        </w:numPr>
      </w:pPr>
      <w:r>
        <w:t xml:space="preserve">Because the stock has risen so far above that $20.47 entry, the </w:t>
      </w:r>
      <w:r>
        <w:rPr>
          <w:b/>
          <w:bCs/>
        </w:rPr>
        <w:t xml:space="preserve">paper value of the shares Intel technically still owes</w:t>
      </w:r>
      <w:r>
        <w:t xml:space="preserve"> (13M already released to Commerce by June 27, with warrants covering up to 241M more) has ballooned — and that increase has to be booked as a GAAP loss each quarter under mark-to-market accounting, even though nothing about the underlying business changed. As of the most recent figures found, the government's position is worth </w:t>
      </w:r>
      <w:r>
        <w:rPr>
          <w:b/>
          <w:bCs/>
        </w:rPr>
        <w:t xml:space="preserve">&gt;$45B against an $8.9B cost basis (+~400%)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Nvidia invested $5B</w:t>
      </w:r>
      <w:r>
        <w:t xml:space="preserve"> in Intel common stock (framed as a "vote of confidence" / potential commercial tie-up); </w:t>
      </w:r>
      <w:r>
        <w:rPr>
          <w:b/>
          <w:bCs/>
        </w:rPr>
        <w:t xml:space="preserve">SoftBank invested $2B</w:t>
      </w:r>
      <w:r>
        <w:t xml:space="preserve">. </w:t>
      </w:r>
      <w:r>
        <w:rPr>
          <w:b/>
          <w:bCs/>
        </w:rPr>
        <w:t xml:space="preserve">Apple is reportedly in early-stage, unconfirmed talks</w:t>
      </w:r>
      <w:r>
        <w:t xml:space="preserve"> about a manufacturing/investment relationship (first reported May 2026, no deal confirmed as of the most recent sources found).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August 2026</w:t>
      </w:r>
      <w:r>
        <w:t xml:space="preserve">: Intel raised a further </w:t>
      </w:r>
      <w:r>
        <w:rPr>
          <w:b/>
          <w:bCs/>
        </w:rPr>
        <w:t xml:space="preserve">$20B in a public stock offering at $95/share</w:t>
      </w:r>
      <w:r>
        <w:t xml:space="preserve"> (~210M new shares) explicitly to fund AI-chip manufacturing expansion — on top of, not instead of, the government/Nvidia/SoftBank capital.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 Intel shareholder lawsuit is challenging the legitimacy of the government's equity demands</w:t>
      </w:r>
      <w:r>
        <w:t xml:space="preserve"> — an open legal/political overhang, not yet resolved.</w:t>
      </w:r>
    </w:p>
    <w:p>
      <w:r>
        <w:rPr>
          <w:b/>
          <w:bCs/>
        </w:rPr>
        <w:t xml:space="preserve">Recent news (trailing ~90 days):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Sept 8, 2026</w:t>
      </w:r>
      <w:r>
        <w:t xml:space="preserve">: Northland Securities upgraded to Outperform, $120 PT. Ivan Feinseth reaffirmed Buy, raised PT $118→$145 citing an "AI-driven turnaround." </w:t>
      </w:r>
      <w:r>
        <w:rPr>
          <w:b/>
          <w:bCs/>
        </w:rPr>
        <w:t xml:space="preserve">Mizuho (5-star analyst) cut PT to $92 from $109, maintained Hold</w:t>
      </w:r>
      <w:r>
        <w:t xml:space="preserve"> — a genuine, recent bearish counterpoint, not stale.</w:t>
      </w:r>
    </w:p>
    <w:p>
      <w:pPr>
        <w:pStyle w:val="ListParagraph"/>
        <w:numPr>
          <w:ilvl w:val="0"/>
          <w:numId w:val="1"/>
        </w:numPr>
      </w:pPr>
      <w:r>
        <w:t xml:space="preserve">Consensus across ~41-49 analysts: </w:t>
      </w:r>
      <w:r>
        <w:rPr>
          <w:b/>
          <w:bCs/>
        </w:rPr>
        <w:t xml:space="preserve">"Buy"/"Hold" mixed, average target ~$114-116</w:t>
      </w:r>
      <w:r>
        <w:t xml:space="preserve"> (below the current $121.78 price as of this report) — targets range $75-$200, an unusually wide spread reflecting genuine disagreement about the foundry outcome.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Aug 11-14, 2026</w:t>
      </w:r>
      <w:r>
        <w:t xml:space="preserve">: CEO Lip-Bu Tan personally bought </w:t>
      </w:r>
      <w:r>
        <w:rPr>
          <w:b/>
          <w:bCs/>
        </w:rPr>
        <w:t xml:space="preserve">105,263 shares at $95/share (~$10M)</w:t>
      </w:r>
      <w:r>
        <w:t xml:space="preserve"> through a family trust — a real, dated, discretionary open-market purchase, not routine 10b5-1 selling. A rare positive management-integrity signal for a company this size.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VLSI Symposium (2026)</w:t>
      </w:r>
      <w:r>
        <w:t xml:space="preserve">: Intel 18A-P (an enhanced version of 18A) entered risk production on schedule. Intel Foundry has distributed early 14A Process Design Kits to lead customers, including </w:t>
      </w:r>
      <w:r>
        <w:rPr>
          <w:b/>
          <w:bCs/>
        </w:rPr>
        <w:t xml:space="preserve">Tesla</w:t>
      </w:r>
      <w:r>
        <w:t xml:space="preserve">, which plans to use 14A for its "Terafab" AI-chip project — genuine, named, but still early-stage engagement, not a signed high-volume customer commitment. </w:t>
      </w:r>
      <w:r>
        <w:rPr>
          <w:b/>
          <w:bCs/>
        </w:rPr>
        <w:t xml:space="preserve">Intel has not publicly named a major external 14A customer</w:t>
      </w:r>
      <w:r>
        <w:t xml:space="preserve"> despite having conditioned continued 14A investment on securing one.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1. Business Overview</w:t>
      </w:r>
    </w:p>
    <w:p>
      <w:r>
        <w:rPr>
          <w:b/>
          <w:bCs/>
        </w:rPr>
        <w:t xml:space="preserve">Segments (current reporting structure):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D9D9" w:val="clear"/>
          </w:tcPr>
          <w:p>
            <w:r>
              <w:t xml:space="preserve">Segment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Q2 2026 Revenue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YoY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Operating Margin</w:t>
            </w:r>
          </w:p>
        </w:tc>
      </w:tr>
      <w:tr>
        <w:tc>
          <w:tcPr>
            <w:tcW w:type="dxa" w:w="2700"/>
          </w:tcPr>
          <w:p>
            <w:r>
              <w:t xml:space="preserve">Client Computing Group (CCG)</w:t>
            </w:r>
          </w:p>
        </w:tc>
        <w:tc>
          <w:tcPr>
            <w:tcW w:type="dxa" w:w="2700"/>
          </w:tcPr>
          <w:p>
            <w:r>
              <w:t xml:space="preserve">$8.9B</w:t>
            </w:r>
          </w:p>
        </w:tc>
        <w:tc>
          <w:tcPr>
            <w:tcW w:type="dxa" w:w="2700"/>
          </w:tcPr>
          <w:p>
            <w:r>
              <w:t xml:space="preserve">+13%</w:t>
            </w:r>
          </w:p>
        </w:tc>
        <w:tc>
          <w:tcPr>
            <w:tcW w:type="dxa" w:w="2700"/>
          </w:tcPr>
          <w:p>
            <w:r>
              <w:t xml:space="preserve">[not independently sourced this pass]</w:t>
            </w:r>
          </w:p>
        </w:tc>
      </w:tr>
      <w:tr>
        <w:tc>
          <w:tcPr>
            <w:tcW w:type="dxa" w:w="2700"/>
          </w:tcPr>
          <w:p>
            <w:r>
              <w:t xml:space="preserve">Data Center &amp; AI (DCAI)</w:t>
            </w:r>
          </w:p>
        </w:tc>
        <w:tc>
          <w:tcPr>
            <w:tcW w:type="dxa" w:w="2700"/>
          </w:tcPr>
          <w:p>
            <w:r>
              <w:t xml:space="preserve">$6.3B</w:t>
            </w:r>
          </w:p>
        </w:tc>
        <w:tc>
          <w:tcPr>
            <w:tcW w:type="dxa" w:w="2700"/>
          </w:tcPr>
          <w:p>
            <w:r>
              <w:t xml:space="preserve">+59%</w:t>
            </w:r>
          </w:p>
        </w:tc>
        <w:tc>
          <w:tcPr>
            <w:tcW w:type="dxa" w:w="2700"/>
          </w:tcPr>
          <w:p>
            <w:r>
              <w:t xml:space="preserve">39.5% (up from 16.1%)</w:t>
            </w:r>
          </w:p>
        </w:tc>
      </w:tr>
      <w:tr>
        <w:tc>
          <w:tcPr>
            <w:tcW w:type="dxa" w:w="2700"/>
          </w:tcPr>
          <w:p>
            <w:r>
              <w:t xml:space="preserve">Intel Foundry</w:t>
            </w:r>
          </w:p>
        </w:tc>
        <w:tc>
          <w:tcPr>
            <w:tcW w:type="dxa" w:w="2700"/>
          </w:tcPr>
          <w:p>
            <w:r>
              <w:t xml:space="preserve">$5.8B</w:t>
            </w:r>
          </w:p>
        </w:tc>
        <w:tc>
          <w:tcPr>
            <w:tcW w:type="dxa" w:w="2700"/>
          </w:tcPr>
          <w:p>
            <w:r>
              <w:t xml:space="preserve">(up from $4.4B)</w:t>
            </w:r>
          </w:p>
        </w:tc>
        <w:tc>
          <w:tcPr>
            <w:tcW w:type="dxa" w:w="2700"/>
          </w:tcPr>
          <w:p>
            <w:r>
              <w:t xml:space="preserve">-$2.1B loss (operating margin negative)</w:t>
            </w:r>
          </w:p>
        </w:tc>
      </w:tr>
    </w:tbl>
    <w:p>
      <w:r>
        <w:rPr>
          <w:b/>
          <w:bCs/>
        </w:rPr>
        <w:t xml:space="preserve">Intel is genuinely two businesses bolted together</w:t>
      </w:r>
      <w:r>
        <w:t xml:space="preserve">, addressed explicitly per this fork's directive:</w:t>
      </w:r>
    </w:p>
    <w:p>
      <w:r>
        <w:t xml:space="preserve">1. A </w:t>
      </w:r>
      <w:r>
        <w:rPr>
          <w:b/>
          <w:bCs/>
        </w:rPr>
        <w:t xml:space="preserve">challenged-but-recovering chip-design business</w:t>
      </w:r>
      <w:r>
        <w:t xml:space="preserve"> (CCG + DCAI combined) — competing against AMD in CPUs and against Nvidia (overwhelmingly) plus AMD in AI/datacenter silicon, now showing real margin recovery.</w:t>
      </w:r>
    </w:p>
    <w:p>
      <w:r>
        <w:t xml:space="preserve">2. A </w:t>
      </w:r>
      <w:r>
        <w:rPr>
          <w:b/>
          <w:bCs/>
        </w:rPr>
        <w:t xml:space="preserve">capital-intensive, currently loss-making foundry turnaround bet</w:t>
      </w:r>
      <w:r>
        <w:t xml:space="preserve"> (Intel Foundry) — competing against TSMC (the world's dominant leading-edge foundry) and Samsung, trying to become a credible third-party manufacturer, funded substantially by government/strategic capital rather than its own cash flow.</w:t>
      </w:r>
    </w:p>
    <w:p>
      <w:r>
        <w:rPr>
          <w:b/>
          <w:bCs/>
        </w:rPr>
        <w:t xml:space="preserve">Competitive position — three separate battles: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vs. AMD (CPU share)</w:t>
      </w:r>
      <w:r>
        <w:t xml:space="preserve">: CCG's +13% growth is a real recovery signal but was not benchmarked against AMD's own concurrent share trend this pass — flagged, not assumed.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vs. Nvidia (AI/datacenter)</w:t>
      </w:r>
      <w:r>
        <w:t xml:space="preserve">: Intel remains an overwhelming share-loser here — DCAI's 59% growth is off a small base relative to Nvidia's AI-accelerator dominance; Intel's AI story is much more "beneficiary of AI-driven datacenter capex broadly" (memory-adjacent, general-purpose server CPUs) than "competitor to Nvidia's GPUs" directly.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vs. TSMC/Samsung (foundry)</w:t>
      </w:r>
      <w:r>
        <w:t xml:space="preserve">: TSMC remains the leading-edge manufacturing leader; Intel Foundry's $293M in *external* Q2 revenue against TSMC's tens of billions in quarterly revenue shows the gap remains enormous. 18A-P risk production on schedule and 14A PDKs with lead customers (Tesla named) are genuine progress markers, not proof of competitiveness yet.</w:t>
      </w:r>
    </w:p>
    <w:p>
      <w:r>
        <w:rPr>
          <w:b/>
          <w:bCs/>
        </w:rPr>
        <w:t xml:space="preserve">TAM</w:t>
      </w:r>
      <w:r>
        <w:t xml:space="preserve">: no company-disclosed unified figure found. Server/AI-datacenter and leading-edge foundry TAMs are each separately enormous (hundreds of billions), but Intel's current external-foundry revenue ($293M/quarter) represents a rounding error against either — the real investment question is trajectory, not current penetration.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2. Routing</w:t>
      </w:r>
    </w:p>
    <w:p>
      <w:r>
        <w:rPr>
          <w:b/>
          <w:bCs/>
        </w:rPr>
        <w:t xml:space="preserve">Track A-SM (Semiconductors, Track A/turnaround primary), with Track B growth-metric awareness applied specifically to DCAI and Foundry's external-customer trajectory</w:t>
      </w:r>
      <w:r>
        <w:t xml:space="preserve"> — the CCG+DCAI core is mature/turnaround in character (Koller DCF + peer multiples as primary anchor), while Foundry is genuinely optionality/binary (near-zero current external revenue, enormous CapEx, success-or-failure character) and is treated as a scenario input to the DCF rather than valued on its own separate growth-metric table, since it currently has no meaningful standalone revenue to apply Track B metrics to.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3. Categorization (Lynch)</w:t>
      </w:r>
    </w:p>
    <w:p>
      <w:r>
        <w:rPr>
          <w:b/>
          <w:bCs/>
        </w:rPr>
        <w:t xml:space="preserve">Turnaround</w:t>
      </w:r>
      <w:r>
        <w:t xml:space="preserve"> — unambiguous. Revenue $79.02B (FY2021 peak) → $63.05B → $54.23B → $53.10B → $52.85B (FY2025) — a 33% multi-year decline, with net losses in FY2024 (-$18.76B) and FY2025 (-$0.27B). Q2 2026's first positive GAAP operating quarter is the first hard evidence the turnaround is inflecting, not yet proof it's complete.</w:t>
      </w:r>
    </w:p>
    <w:p>
      <w:r>
        <w:rPr>
          <w:b/>
          <w:bCs/>
        </w:rPr>
        <w:t xml:space="preserve">Does the government stake/CHIPS funding neutralize Lynch's "debt load that prevents recovery" turnaround red flag?</w:t>
      </w:r>
      <w:r>
        <w:t xml:space="preserve"> Partially, and in an unusual way: Intel's *cash position* is genuinely reinforced (government $8.9B + Nvidia $5B + SoftBank $2B + the Aug 2026 $20B raise = well over $35B of new capital in roughly a year), which meaningfully reduces near-term liquidity/bankruptcy risk relative to a normal turnaround. But it has </w:t>
      </w:r>
      <w:r>
        <w:rPr>
          <w:b/>
          <w:bCs/>
        </w:rPr>
        <w:t xml:space="preserve">not</w:t>
      </w:r>
      <w:r>
        <w:t xml:space="preserve"> reduced the debt load itself (~$50.5B total debt, largely unchanged) — this capital came in as *equity*, not debt paydown, meaning the balance-sheet risk was substituted for </w:t>
      </w:r>
      <w:r>
        <w:rPr>
          <w:b/>
          <w:bCs/>
        </w:rPr>
        <w:t xml:space="preserve">dilution risk</w:t>
      </w:r>
      <w:r>
        <w:t xml:space="preserve"> instead. Shares outstanding: 4,280M (FY2024) → 4,530M (FY2025) → 5,043M (June 2026) → likely ~5,250M+ current [EST, pending the Aug 2026 raise settling] — roughly </w:t>
      </w:r>
      <w:r>
        <w:rPr>
          <w:b/>
          <w:bCs/>
        </w:rPr>
        <w:t xml:space="preserve">+20-25% dilution in under two years</w:t>
      </w:r>
      <w:r>
        <w:t xml:space="preserve">. A different risk than Lynch's classic "debt that prevents recovery," but a real one: even a successful turnaround now has to be split across meaningfully more shares.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4. Earnings Quality (Penman)</w:t>
      </w:r>
    </w:p>
    <w:p>
      <w:r>
        <w:rPr>
          <w:b/>
          <w:bCs/>
        </w:rPr>
        <w:t xml:space="preserve">The GAAP headline loss is not a clean operating signal — but not for a healthy reason either; it needs to be decomposed correctly.</w:t>
      </w:r>
      <w:r>
        <w:t xml:space="preserve"> Q2 2026's $11.0B GAAP net loss was driven ~$12.5B by the non-cash mark-to-market loss on the government's Escrowed Shares (Section 0) — this is real, disclosed, and recurring in nature (it will keep marking to market each quarter the stock moves), not a one-off the way LITE's debt-extinguishment loss was. Strip it out and </w:t>
      </w:r>
      <w:r>
        <w:rPr>
          <w:b/>
          <w:bCs/>
        </w:rPr>
        <w:t xml:space="preserve">operating income was +$1.796B — genuinely positive for the first time in the multi-year filing history reviewed.</w:t>
      </w:r>
    </w:p>
    <w:p>
      <w:r>
        <w:rPr>
          <w:b/>
          <w:bCs/>
        </w:rPr>
        <w:t xml:space="preserve">RNOA vs. leverage</w:t>
      </w:r>
      <w:r>
        <w:t xml:space="preserve">: not independently decomposed this pass (total operating assets not sourced) — flagged, not estimated. Directionally, Total debt (~$50.5B) has stayed roughly flat while equity has grown sharply from new issuance, meaning ROE is *not* being flattered by rising leverage — if anything, the opposite (leverage ratio falling as equity balloons).</w:t>
      </w:r>
    </w:p>
    <w:p>
      <w:r>
        <w:rPr>
          <w:b/>
          <w:bCs/>
        </w:rPr>
        <w:t xml:space="preserve">Margin trend (actual figures)</w:t>
      </w:r>
      <w:r>
        <w:t xml:space="preserve">: non-GAAP gross margin 41.8% (Q2'26) → guided ~42% (Q3'26) — a real, if modest, sequential improvement, and a genuine recovery from Intel's historically depressed 2023-2024 margins (not independently re-sourced to an exact prior-year comparison this pass, flagged).</w:t>
      </w:r>
    </w:p>
    <w:p>
      <w:r>
        <w:rPr>
          <w:b/>
          <w:bCs/>
        </w:rPr>
        <w:t xml:space="preserve">Dilution</w:t>
      </w:r>
      <w:r>
        <w:t xml:space="preserve">: </w:t>
      </w:r>
      <w:r>
        <w:rPr>
          <w:b/>
          <w:bCs/>
        </w:rPr>
        <w:t xml:space="preserve">severe and ongoing</w:t>
      </w:r>
      <w:r>
        <w:t xml:space="preserve"> — +20-25% share count growth in under two years, from multiple large capital raises, still incomplete (further raises are plausible given the CapEx trajectory &gt;$20B/yr and rising). This is Fisher's #13 red flag directly, and also caps how much of any future recovery flows to *existing* shareholders on a per-share basis.</w:t>
      </w:r>
    </w:p>
    <w:p>
      <w:r>
        <w:rPr>
          <w:b/>
          <w:bCs/>
        </w:rPr>
        <w:t xml:space="preserve">Accrual ratio</w:t>
      </w:r>
      <w:r>
        <w:t xml:space="preserve">: not computed (total assets not independently sourced) — flagged, not estimated.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5. Valuation — DCF (Koller)</w:t>
      </w:r>
    </w:p>
    <w:p>
      <w:r>
        <w:rPr>
          <w:b/>
          <w:bCs/>
        </w:rPr>
        <w:t xml:space="preserve">Methodology note, addressing this fork's directive on the binary-turnaround question directly</w:t>
      </w:r>
      <w:r>
        <w:t xml:space="preserve">: rather than a single smooth glide path, the three scenarios below are constructed to explicitly represent the binary foundry outcome — Bear assumes the foundry turnaround does NOT produce a real, profitable external-customer business within the explicit forecast window (CCG/DCAI carry the company, Foundry stays a cash drag); Bull assumes it DOES (Foundry becomes a genuine, profitable third pillar with real external customers beyond Tesla). This is a closer fit to Intel's actual risk profile than assuming a smooth continuum between them.</w:t>
      </w:r>
    </w:p>
    <w:p>
      <w:pPr>
        <w:pStyle w:val="Heading2"/>
        <w:spacing w:after="100" w:before="200"/>
      </w:pPr>
      <w:r>
        <w:t xml:space="preserve">WACC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Input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Basis</w:t>
            </w:r>
          </w:p>
        </w:tc>
      </w:tr>
      <w:tr>
        <w:tc>
          <w:tcPr>
            <w:tcW w:type="dxa" w:w="3600"/>
          </w:tcPr>
          <w:p>
            <w:r>
              <w:t xml:space="preserve">Risk-free rate (10Y UST)</w:t>
            </w:r>
          </w:p>
        </w:tc>
        <w:tc>
          <w:tcPr>
            <w:tcW w:type="dxa" w:w="3600"/>
          </w:tcPr>
          <w:p>
            <w:r>
              <w:t xml:space="preserve">4.95%</w:t>
            </w:r>
          </w:p>
        </w:tc>
        <w:tc>
          <w:tcPr>
            <w:tcW w:type="dxa" w:w="3600"/>
          </w:tcPr>
          <w:p>
            <w:r>
              <w:t xml:space="preserve">Today's macro pipeline read</w:t>
            </w:r>
          </w:p>
        </w:tc>
      </w:tr>
      <w:tr>
        <w:tc>
          <w:tcPr>
            <w:tcW w:type="dxa" w:w="3600"/>
          </w:tcPr>
          <w:p>
            <w:r>
              <w:t xml:space="preserve">ERP</w:t>
            </w:r>
          </w:p>
        </w:tc>
        <w:tc>
          <w:tcPr>
            <w:tcW w:type="dxa" w:w="3600"/>
          </w:tcPr>
          <w:p>
            <w:r>
              <w:t xml:space="preserve">4.5%</w:t>
            </w:r>
          </w:p>
        </w:tc>
        <w:tc>
          <w:tcPr>
            <w:tcW w:type="dxa" w:w="3600"/>
          </w:tcPr>
          <w:p>
            <w:r>
              <w:t xml:space="preserve">Damodaran implied, US</w:t>
            </w:r>
          </w:p>
        </w:tc>
      </w:tr>
      <w:tr>
        <w:tc>
          <w:tcPr>
            <w:tcW w:type="dxa" w:w="3600"/>
          </w:tcPr>
          <w:p>
            <w:r>
              <w:t xml:space="preserve">Beta (5Y monthly)</w:t>
            </w:r>
          </w:p>
        </w:tc>
        <w:tc>
          <w:tcPr>
            <w:tcW w:type="dxa" w:w="3600"/>
          </w:tcPr>
          <w:p>
            <w:r>
              <w:t xml:space="preserve">2.19 (Yahoo Finance)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Genuinely elevated</w:t>
            </w:r>
            <w:r>
              <w:t xml:space="preserve"> — reflects an extraordinary 12 months of government-deal-driven, capital-raise-driven volatility (market cap +~400% over the trailing year per one source), not necessarily representative of steady-state risk once the capital-raise cycle settles — used as-is per the framework's discipline (don't discount a high beta just because it's inconvenient), but flagged as the least "clean" input in this DCF</w:t>
            </w:r>
          </w:p>
        </w:tc>
      </w:tr>
      <w:tr>
        <w:tc>
          <w:tcPr>
            <w:tcW w:type="dxa" w:w="3600"/>
          </w:tcPr>
          <w:p>
            <w:r>
              <w:t xml:space="preserve">Cost of equity</w:t>
            </w:r>
          </w:p>
        </w:tc>
        <w:tc>
          <w:tcPr>
            <w:tcW w:type="dxa" w:w="3600"/>
          </w:tcPr>
          <w:p>
            <w:r>
              <w:t xml:space="preserve">4.95% + 2.19×4.5% = </w:t>
            </w:r>
            <w:r>
              <w:rPr>
                <w:b/>
                <w:bCs/>
              </w:rPr>
              <w:t xml:space="preserve">14.80%</w:t>
            </w:r>
          </w:p>
        </w:tc>
        <w:tc>
          <w:tcPr>
            <w:tcW w:type="dxa" w:w="3600"/>
          </w:tcPr>
          <w:p>
            <w:r>
              <w:t xml:space="preserve">CAPM</w:t>
            </w:r>
          </w:p>
        </w:tc>
      </w:tr>
      <w:tr>
        <w:tc>
          <w:tcPr>
            <w:tcW w:type="dxa" w:w="3600"/>
          </w:tcPr>
          <w:p>
            <w:r>
              <w:t xml:space="preserve">Cost of debt (after-tax, estimated)</w:t>
            </w:r>
          </w:p>
        </w:tc>
        <w:tc>
          <w:tcPr>
            <w:tcW w:type="dxa" w:w="3600"/>
          </w:tcPr>
          <w:p>
            <w:r>
              <w:t xml:space="preserve">~4.2% [EST]</w:t>
            </w:r>
          </w:p>
        </w:tc>
        <w:tc>
          <w:tcPr>
            <w:tcW w:type="dxa" w:w="3600"/>
          </w:tcPr>
          <w:p>
            <w:r>
              <w:t xml:space="preserve">Total debt ~$50.5B; precise current-yield sourcing not completed this pass</w:t>
            </w:r>
          </w:p>
        </w:tc>
      </w:tr>
      <w:tr>
        <w:tc>
          <w:tcPr>
            <w:tcW w:type="dxa" w:w="3600"/>
          </w:tcPr>
          <w:p>
            <w:r>
              <w:t xml:space="preserve">E/V</w:t>
            </w:r>
          </w:p>
        </w:tc>
        <w:tc>
          <w:tcPr>
            <w:tcW w:type="dxa" w:w="3600"/>
          </w:tcPr>
          <w:p>
            <w:r>
              <w:t xml:space="preserve">~92.4%</w:t>
            </w:r>
          </w:p>
        </w:tc>
        <w:tc>
          <w:tcPr>
            <w:tcW w:type="dxa" w:w="3600"/>
          </w:tcPr>
          <w:p>
            <w:r>
              <w:t xml:space="preserve">Market cap ~$614B vs. total debt ~$50.5B</w:t>
            </w:r>
          </w:p>
        </w:tc>
      </w:tr>
      <w:tr>
        <w:tc>
          <w:tcPr>
            <w:tcW w:type="dxa" w:w="3600"/>
          </w:tcPr>
          <w:p>
            <w:r>
              <w:t xml:space="preserve">D/V</w:t>
            </w:r>
          </w:p>
        </w:tc>
        <w:tc>
          <w:tcPr>
            <w:tcW w:type="dxa" w:w="3600"/>
          </w:tcPr>
          <w:p>
            <w:r>
              <w:t xml:space="preserve">~7.6%</w:t>
            </w:r>
          </w:p>
        </w:tc>
        <w:tc>
          <w:tcPr>
            <w:tcW w:type="dxa" w:w="3600"/>
          </w:tcPr>
          <w:p>
            <w:r>
              <w:t xml:space="preserve"/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WACC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≈14.0%</w:t>
            </w:r>
          </w:p>
        </w:tc>
        <w:tc>
          <w:tcPr>
            <w:tcW w:type="dxa" w:w="3600"/>
          </w:tcPr>
          <w:p>
            <w:r>
              <w:t xml:space="preserve">Equity-heavy, high-beta — comparable in magnitude to MU's ~13.9% WACC elsewhere this session, for similar reasons (genuinely elevated realized volatility)</w:t>
            </w:r>
          </w:p>
        </w:tc>
      </w:tr>
    </w:tbl>
    <w:p>
      <w:pPr>
        <w:pStyle w:val="Heading2"/>
        <w:spacing w:after="100" w:before="200"/>
      </w:pPr>
      <w:r>
        <w:t xml:space="preserve">Bear / Base / Bull (explicit forecast to reflect the binary foundry outcome)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D9D9" w:val="clear"/>
          </w:tcPr>
          <w:p>
            <w:r>
              <w:t xml:space="preserve"/>
            </w:r>
          </w:p>
        </w:tc>
        <w:tc>
          <w:tcPr>
            <w:tcW w:type="dxa" w:w="2700"/>
            <w:shd w:fill="D9D9D9" w:val="clear"/>
          </w:tcPr>
          <w:p>
            <w:r>
              <w:t xml:space="preserve">Bear (foundry turnaround fails/stalls)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Base (foundry reaches breakeven, modest external revenue)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Bull (foundry becomes a real, profitable third pillar)</w:t>
            </w:r>
          </w:p>
        </w:tc>
      </w:tr>
      <w:tr>
        <w:tc>
          <w:tcPr>
            <w:tcW w:type="dxa" w:w="2700"/>
          </w:tcPr>
          <w:p>
            <w:r>
              <w:t xml:space="preserve">Revenue path</w:t>
            </w:r>
          </w:p>
        </w:tc>
        <w:tc>
          <w:tcPr>
            <w:tcW w:type="dxa" w:w="2700"/>
          </w:tcPr>
          <w:p>
            <w:r>
              <w:t xml:space="preserve">Low-single-digit growth off ~$60B TTM [EST — TTM not independently pinned down this pass; FY2025 was $52.85B, H1 2026 running well above that pace on the DCAI surge], CCG/DCAI carry, Foundry stays a permanent drag</w:t>
            </w:r>
          </w:p>
        </w:tc>
        <w:tc>
          <w:tcPr>
            <w:tcW w:type="dxa" w:w="2700"/>
          </w:tcPr>
          <w:p>
            <w:r>
              <w:t xml:space="preserve">Mid-single-to-high-single-digit growth, Foundry reaches breakeven within the explicit window as Tesla-scale customers ramp</w:t>
            </w:r>
          </w:p>
        </w:tc>
        <w:tc>
          <w:tcPr>
            <w:tcW w:type="dxa" w:w="2700"/>
          </w:tcPr>
          <w:p>
            <w:r>
              <w:t xml:space="preserve">Double-digit growth reaccelerating as 14A wins real external volume (Apple-scale customer materializing), Foundry becomes profitable and a genuine second growth engine alongside DCAI</w:t>
            </w:r>
          </w:p>
        </w:tc>
      </w:tr>
      <w:tr>
        <w:tc>
          <w:tcPr>
            <w:tcW w:type="dxa" w:w="2700"/>
          </w:tcPr>
          <w:p>
            <w:r>
              <w:t xml:space="preserve">Terminal NOPLAT margin</w:t>
            </w:r>
          </w:p>
        </w:tc>
        <w:tc>
          <w:tcPr>
            <w:tcW w:type="dxa" w:w="2700"/>
          </w:tcPr>
          <w:p>
            <w:r>
              <w:t xml:space="preserve">8%</w:t>
            </w:r>
          </w:p>
        </w:tc>
        <w:tc>
          <w:tcPr>
            <w:tcW w:type="dxa" w:w="2700"/>
          </w:tcPr>
          <w:p>
            <w:r>
              <w:t xml:space="preserve">14%</w:t>
            </w:r>
          </w:p>
        </w:tc>
        <w:tc>
          <w:tcPr>
            <w:tcW w:type="dxa" w:w="2700"/>
          </w:tcPr>
          <w:p>
            <w:r>
              <w:t xml:space="preserve">20%</w:t>
            </w:r>
          </w:p>
        </w:tc>
      </w:tr>
      <w:tr>
        <w:tc>
          <w:tcPr>
            <w:tcW w:type="dxa" w:w="2700"/>
          </w:tcPr>
          <w:p>
            <w:r>
              <w:t xml:space="preserve">Terminal ROIC</w:t>
            </w:r>
          </w:p>
        </w:tc>
        <w:tc>
          <w:tcPr>
            <w:tcW w:type="dxa" w:w="2700"/>
          </w:tcPr>
          <w:p>
            <w:r>
              <w:t xml:space="preserve">Below WACC (~10%) — value-destroying if sustained</w:t>
            </w:r>
          </w:p>
        </w:tc>
        <w:tc>
          <w:tcPr>
            <w:tcW w:type="dxa" w:w="2700"/>
          </w:tcPr>
          <w:p>
            <w:r>
              <w:t xml:space="preserve">≈WACC (~14%) — value-neutral</w:t>
            </w:r>
          </w:p>
        </w:tc>
        <w:tc>
          <w:tcPr>
            <w:tcW w:type="dxa" w:w="2700"/>
          </w:tcPr>
          <w:p>
            <w:r>
              <w:t xml:space="preserve">WACC+5% (~19%) — value-creating</w:t>
            </w:r>
          </w:p>
        </w:tc>
      </w:tr>
      <w:tr>
        <w:tc>
          <w:tcPr>
            <w:tcW w:type="dxa" w:w="2700"/>
          </w:tcPr>
          <w:p>
            <w:r>
              <w:rPr>
                <w:b/>
                <w:bCs/>
              </w:rPr>
              <w:t xml:space="preserve">Per-share value</w:t>
            </w:r>
          </w:p>
        </w:tc>
        <w:tc>
          <w:tcPr>
            <w:tcW w:type="dxa" w:w="2700"/>
          </w:tcPr>
          <w:p>
            <w:r>
              <w:rPr>
                <w:b/>
                <w:bCs/>
              </w:rPr>
              <w:t xml:space="preserve">~$35</w:t>
            </w:r>
          </w:p>
        </w:tc>
        <w:tc>
          <w:tcPr>
            <w:tcW w:type="dxa" w:w="2700"/>
          </w:tcPr>
          <w:p>
            <w:r>
              <w:rPr>
                <w:b/>
                <w:bCs/>
              </w:rPr>
              <w:t xml:space="preserve">~$95</w:t>
            </w:r>
          </w:p>
        </w:tc>
        <w:tc>
          <w:tcPr>
            <w:tcW w:type="dxa" w:w="2700"/>
          </w:tcPr>
          <w:p>
            <w:r>
              <w:rPr>
                <w:b/>
                <w:bCs/>
              </w:rPr>
              <w:t xml:space="preserve">~$210</w:t>
            </w:r>
          </w:p>
        </w:tc>
      </w:tr>
    </w:tbl>
    <w:p>
      <w:r>
        <w:t xml:space="preserve">*(These per-share figures are constructed illustratively from the scenario inputs above, consistent with this session's other DCF workups; not independently cross-checked against a third-party consensus DCF this pass — flagged as the least independently verified valuation output produced this session, given the fork's single-pass research budget.)*</w:t>
      </w:r>
    </w:p>
    <w:p>
      <w:r>
        <w:rPr>
          <w:b/>
          <w:bCs/>
        </w:rPr>
        <w:t xml:space="preserve">MoS Gate: NONE</w:t>
      </w:r>
      <w:r>
        <w:t xml:space="preserve"> — price ($121.78) sits between Base (~$95) and Bull (~$210), closer to Base — a similar shape to MXL, TJX, and LLOY.L earlier this session (stretched, not "priced for perfection" the way LITE/MU were).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6. Mauboussin — Price-Implied Expectations</w:t>
      </w:r>
    </w:p>
    <w:p>
      <w:r>
        <w:t xml:space="preserve">At today's price, the market is pricing </w:t>
      </w:r>
      <w:r>
        <w:rPr>
          <w:b/>
          <w:bCs/>
        </w:rPr>
        <w:t xml:space="preserve">something meaningfully better than the Base case but well short of the full Bull case</w:t>
      </w:r>
      <w:r>
        <w:t xml:space="preserve"> — consistent with genuine market uncertainty about the foundry outcome (the $75-$200 analyst target spread found in Section 0 is itself evidence of this same disagreement, not a coincidence). What has to be true: DCAI's AI-driven growth needs to keep compounding near its current +59% YoY pace for several more years, AND Intel Foundry needs to land at least one more large external customer beyond Tesla's early-stage engagement (Apple materializing would be the clearest confirming signal) within the next 2-3 years, without a further large dilutive raise eroding per-share value in the meantime.</w:t>
      </w:r>
    </w:p>
    <w:p>
      <w:r>
        <w:rPr>
          <w:b/>
          <w:bCs/>
        </w:rPr>
        <w:t xml:space="preserve">Moat</w:t>
      </w:r>
      <w:r>
        <w:t xml:space="preserve">: </w:t>
      </w:r>
      <w:r>
        <w:rPr>
          <w:b/>
          <w:bCs/>
        </w:rPr>
        <w:t xml:space="preserve">historically, process-technology leadership — which Intel lost to TSMC over the last decade.</w:t>
      </w:r>
      <w:r>
        <w:t xml:space="preserve"> Honest assessment per this fork's directive: </w:t>
      </w:r>
      <w:r>
        <w:rPr>
          <w:b/>
          <w:bCs/>
        </w:rPr>
        <w:t xml:space="preserve">Intel currently has no clearly demonstrated moat in the classic sense.</w:t>
      </w:r>
      <w:r>
        <w:t xml:space="preserve"> What it has instead is a </w:t>
      </w:r>
      <w:r>
        <w:rPr>
          <w:b/>
          <w:bCs/>
        </w:rPr>
        <w:t xml:space="preserve">strategic-necessity position</w:t>
      </w:r>
      <w:r>
        <w:t xml:space="preserve"> — the only credible US-headquartered leading-edge logic manufacturer, which is *why* the US government, Nvidia, and SoftBank have all put capital in. That's a real, differentiated asset (a form of "efficient scale" moat-by-policy, the weakest tier in the moat hierarchy — a second domestic leading-edge competitor is unlikely to be funded at this scale), but it is not yet a demonstrated technology or cost moat the way TSMC's manufacturing lead or Micron's oligopoly position are. </w:t>
      </w:r>
      <w:r>
        <w:rPr>
          <w:b/>
          <w:bCs/>
        </w:rPr>
        <w:t xml:space="preserve">CAP: 3-5 years</w:t>
      </w:r>
      <w:r>
        <w:t xml:space="preserve"> — the low end of the hierarchy, reflecting that this thesis is closer to "betting on a turnaround with strategic backing" than "collecting economic rents from an established edge."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7. Fisher — Qualitative Checklist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#5/#6 (margins)</w:t>
      </w:r>
      <w:r>
        <w:t xml:space="preserve">: positive, real — Q2 2026 non-GAAP gross margin 41.8%, first positive GAAP operating quarter in the reviewed filing history.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#9 (management depth)/#15 (integrity)</w:t>
      </w:r>
      <w:r>
        <w:t xml:space="preserve">: genuinely mixed-to-positive. New CEO (Lip-Bu Tan, replacing Pat Gelsinger in 2025) has overseen the operational inflection and personally bought $10M of stock in the open market in August 2026 — a real, discretionary, dated signal, rare for a company this size and one of the strongest management-integrity data points found across every ticker analyzed this session. Set against that: the government's equity involvement (however passive/no-governance-rights per its own terms) and an active shareholder lawsuit over the legitimacy of that arrangement are genuine, unresolved overhangs on the ownership/governance structure.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(dilution)</w:t>
      </w:r>
      <w:r>
        <w:t xml:space="preserve">: clear negative — +20-25% share count growth in under two years, ongoing.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8. Ilmanen — Factor Read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Value</w:t>
      </w:r>
      <w:r>
        <w:t xml:space="preserve">: ambiguous — trailing GAAP metrics are distorted by the mark-to-market derivative loss, making a clean P/E read impossible this pass; not independently resolved to a clean verdict.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Quality</w:t>
      </w:r>
      <w:r>
        <w:t xml:space="preserve">: improving but not yet established — one positive operating quarter after multiple loss years is a real inflection, not a demonstrated track record.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Momentum</w:t>
      </w:r>
      <w:r>
        <w:t xml:space="preserve">: </w:t>
      </w:r>
      <w:r>
        <w:rPr>
          <w:b/>
          <w:bCs/>
        </w:rPr>
        <w:t xml:space="preserve">extreme and positive</w:t>
      </w:r>
      <w:r>
        <w:t xml:space="preserve"> — stock +12% in a single session (Sept 21), market cap +~400% over the trailing year.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 beta</w:t>
      </w:r>
      <w:r>
        <w:t xml:space="preserve">: </w:t>
      </w:r>
      <w:r>
        <w:rPr>
          <w:b/>
          <w:bCs/>
        </w:rPr>
        <w:t xml:space="preserve">absent, decisively</w:t>
      </w:r>
      <w:r>
        <w:t xml:space="preserve"> — beta 2.19, among the highest of any name reviewed this session (alongside MU's ~2.0).</w:t>
      </w:r>
    </w:p>
    <w:p>
      <w:r>
        <w:rPr>
          <w:b/>
          <w:bCs/>
        </w:rPr>
        <w:t xml:space="preserve">Combined</w:t>
      </w:r>
      <w:r>
        <w:t xml:space="preserve">: closer to LITE/MU/MXL's momentum-heavy profile than to UBER/TJX/LLOY.L's value+quality-with-negative-momentum profile — but with a genuine, real operating inflection underneath it (Q2's positive operating income) that those three pure-momentum names didn't have to the same degree.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9. Quality Compounder Screen (Framework 8)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Criterion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Result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Evidence</w:t>
            </w:r>
          </w:p>
        </w:tc>
      </w:tr>
      <w:tr>
        <w:tc>
          <w:tcPr>
            <w:tcW w:type="dxa" w:w="3600"/>
          </w:tcPr>
          <w:p>
            <w:r>
              <w:t xml:space="preserve">ROIC 5-yr average &gt;15%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3600"/>
          </w:tcPr>
          <w:p>
            <w:r>
              <w:t xml:space="preserve">Multi-year losses (FY2024/2025) mean 5-yr ROIC is deeply negative-to-low on average</w:t>
            </w:r>
          </w:p>
        </w:tc>
      </w:tr>
      <w:tr>
        <w:tc>
          <w:tcPr>
            <w:tcW w:type="dxa" w:w="3600"/>
          </w:tcPr>
          <w:p>
            <w:r>
              <w:t xml:space="preserve">ROIC trend stable/improving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Pass (recent only)</w:t>
            </w:r>
          </w:p>
        </w:tc>
        <w:tc>
          <w:tcPr>
            <w:tcW w:type="dxa" w:w="3600"/>
          </w:tcPr>
          <w:p>
            <w:r>
              <w:t xml:space="preserve">Genuine Q2 2026 inflection to positive operating income, but only one quarter of evidence</w:t>
            </w:r>
          </w:p>
        </w:tc>
      </w:tr>
      <w:tr>
        <w:tc>
          <w:tcPr>
            <w:tcW w:type="dxa" w:w="3600"/>
          </w:tcPr>
          <w:p>
            <w:r>
              <w:t xml:space="preserve">Operating margin &gt;15%</w:t>
            </w:r>
          </w:p>
        </w:tc>
        <w:tc>
          <w:tcPr>
            <w:tcW w:type="dxa" w:w="3600"/>
          </w:tcPr>
          <w:p>
            <w:r>
              <w:t xml:space="preserve">Flag</w:t>
            </w:r>
          </w:p>
        </w:tc>
        <w:tc>
          <w:tcPr>
            <w:tcW w:type="dxa" w:w="3600"/>
          </w:tcPr>
          <w:p>
            <w:r>
              <w:t xml:space="preserve">Q2 2026 operating margin ~11% (op income $1.796B / revenue $16.128B) — positive but below the 15% bar</w:t>
            </w:r>
          </w:p>
        </w:tc>
      </w:tr>
      <w:tr>
        <w:tc>
          <w:tcPr>
            <w:tcW w:type="dxa" w:w="3600"/>
          </w:tcPr>
          <w:p>
            <w:r>
              <w:t xml:space="preserve">FCF conversion &gt;80%</w:t>
            </w:r>
          </w:p>
        </w:tc>
        <w:tc>
          <w:tcPr>
            <w:tcW w:type="dxa" w:w="3600"/>
          </w:tcPr>
          <w:p>
            <w:r>
              <w:t xml:space="preserve">Unavailable</w:t>
            </w:r>
          </w:p>
        </w:tc>
        <w:tc>
          <w:tcPr>
            <w:tcW w:type="dxa" w:w="3600"/>
          </w:tcPr>
          <w:p>
            <w:r>
              <w:t xml:space="preserve">Not independently sourced this pass</w:t>
            </w:r>
          </w:p>
        </w:tc>
      </w:tr>
      <w:tr>
        <w:tc>
          <w:tcPr>
            <w:tcW w:type="dxa" w:w="3600"/>
          </w:tcPr>
          <w:p>
            <w:r>
              <w:t xml:space="preserve">CapEx intensity &lt;10%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Fail, decisively</w:t>
            </w:r>
          </w:p>
        </w:tc>
        <w:tc>
          <w:tcPr>
            <w:tcW w:type="dxa" w:w="3600"/>
          </w:tcPr>
          <w:p>
            <w:r>
              <w:t xml:space="preserve">CapEx &gt;$20B guided against ~$60-65B [EST] revenue — well over 30%, explicitly flagged by the sector appendix's own "&gt;30% without matching revenue growth" concern</w:t>
            </w:r>
          </w:p>
        </w:tc>
      </w:tr>
      <w:tr>
        <w:tc>
          <w:tcPr>
            <w:tcW w:type="dxa" w:w="3600"/>
          </w:tcPr>
          <w:p>
            <w:r>
              <w:t xml:space="preserve">Self-funded growth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3600"/>
          </w:tcPr>
          <w:p>
            <w:r>
              <w:t xml:space="preserve">The opposite — funded by government/Nvidia/SoftBank equity plus a further $20B public raise</w:t>
            </w:r>
          </w:p>
        </w:tc>
      </w:tr>
      <w:tr>
        <w:tc>
          <w:tcPr>
            <w:tcW w:type="dxa" w:w="3600"/>
          </w:tcPr>
          <w:p>
            <w:r>
              <w:t xml:space="preserve">Mgmt equity ownership</w:t>
            </w:r>
          </w:p>
        </w:tc>
        <w:tc>
          <w:tcPr>
            <w:tcW w:type="dxa" w:w="3600"/>
          </w:tcPr>
          <w:p>
            <w:r>
              <w:t xml:space="preserve">Flag/Partial</w:t>
            </w:r>
          </w:p>
        </w:tc>
        <w:tc>
          <w:tcPr>
            <w:tcW w:type="dxa" w:w="3600"/>
          </w:tcPr>
          <w:p>
            <w:r>
              <w:t xml:space="preserve">CEO's $10M open-market purchase is a positive signal, but overall insider ownership % not independently sourced</w:t>
            </w:r>
          </w:p>
        </w:tc>
      </w:tr>
      <w:tr>
        <w:tc>
          <w:tcPr>
            <w:tcW w:type="dxa" w:w="3600"/>
          </w:tcPr>
          <w:p>
            <w:r>
              <w:t xml:space="preserve">Buyback discipline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Fail/Inapplicable</w:t>
            </w:r>
          </w:p>
        </w:tc>
        <w:tc>
          <w:tcPr>
            <w:tcW w:type="dxa" w:w="3600"/>
          </w:tcPr>
          <w:p>
            <w:r>
              <w:t xml:space="preserve">Net issuer, not a repurchaser, by a wide margin</w:t>
            </w:r>
          </w:p>
        </w:tc>
      </w:tr>
      <w:tr>
        <w:tc>
          <w:tcPr>
            <w:tcW w:type="dxa" w:w="3600"/>
          </w:tcPr>
          <w:p>
            <w:r>
              <w:t xml:space="preserve">M&amp;A discipline</w:t>
            </w:r>
          </w:p>
        </w:tc>
        <w:tc>
          <w:tcPr>
            <w:tcW w:type="dxa" w:w="3600"/>
          </w:tcPr>
          <w:p>
            <w:r>
              <w:t xml:space="preserve">N/A</w:t>
            </w:r>
          </w:p>
        </w:tc>
        <w:tc>
          <w:tcPr>
            <w:tcW w:type="dxa" w:w="3600"/>
          </w:tcPr>
          <w:p>
            <w:r>
              <w:t xml:space="preserve">No material M&amp;A this pass; foundry customer/investor deals are a different category not cleanly scored here</w:t>
            </w:r>
          </w:p>
        </w:tc>
      </w:tr>
    </w:tbl>
    <w:p>
      <w:r>
        <w:rPr>
          <w:b/>
          <w:bCs/>
        </w:rPr>
        <w:t xml:space="preserve">1 clear pass / 4 fail / 2 flag / 2 unavailable-or-N/A (of 9) — does not clear QUALITY (needs 4-6). Verdict: TRADE ONLY.</w:t>
      </w:r>
      <w:r>
        <w:t xml:space="preserve"> Notably weaker on this specific checklist than LITE (2 pass) or MU (4 pass, QUALITY) — Intel's CapEx intensity and complete lack of self-funded growth are the most decisive failures, both direct, mechanical consequences of the foundry turnaround's capital intensity.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10. Sector Appendix — Semiconductors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Intel actual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Benchmark</w:t>
            </w:r>
          </w:p>
        </w:tc>
        <w:tc>
          <w:tcPr>
            <w:tcW w:type="dxa" w:w="27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2700"/>
          </w:tcPr>
          <w:p>
            <w:r>
              <w:t xml:space="preserve">Gross margin (IDM)</w:t>
            </w:r>
          </w:p>
        </w:tc>
        <w:tc>
          <w:tcPr>
            <w:tcW w:type="dxa" w:w="2700"/>
          </w:tcPr>
          <w:p>
            <w:r>
              <w:t xml:space="preserve">41.8% non-GAAP (Q2'26), ~42% guided (Q3'26)</w:t>
            </w:r>
          </w:p>
        </w:tc>
        <w:tc>
          <w:tcPr>
            <w:tcW w:type="dxa" w:w="2700"/>
          </w:tcPr>
          <w:p>
            <w:r>
              <w:t xml:space="preserve">IDM strong &gt;45%, flag &lt;35%</w:t>
            </w:r>
          </w:p>
        </w:tc>
        <w:tc>
          <w:tcPr>
            <w:tcW w:type="dxa" w:w="2700"/>
          </w:tcPr>
          <w:p>
            <w:r>
              <w:t xml:space="preserve">Below the "strong" IDM bar but a real recovery in progress</w:t>
            </w:r>
          </w:p>
        </w:tc>
      </w:tr>
      <w:tr>
        <w:tc>
          <w:tcPr>
            <w:tcW w:type="dxa" w:w="2700"/>
          </w:tcPr>
          <w:p>
            <w:r>
              <w:t xml:space="preserve">AI/data-centre revenue %</w:t>
            </w:r>
          </w:p>
        </w:tc>
        <w:tc>
          <w:tcPr>
            <w:tcW w:type="dxa" w:w="2700"/>
          </w:tcPr>
          <w:p>
            <w:r>
              <w:t xml:space="preserve">DCAI ~39% of Q2 revenue ($6.3B/$16.1B), growing +59% YoY</w:t>
            </w:r>
          </w:p>
        </w:tc>
        <w:tc>
          <w:tcPr>
            <w:tcW w:type="dxa" w:w="2700"/>
          </w:tcPr>
          <w:p>
            <w:r>
              <w:t xml:space="preserve">The critical semis split metric</w:t>
            </w:r>
          </w:p>
        </w:tc>
        <w:tc>
          <w:tcPr>
            <w:tcW w:type="dxa" w:w="2700"/>
          </w:tcPr>
          <w:p>
            <w:r>
              <w:t xml:space="preserve">Rising fast, genuinely AI-driven, but still a minority of total revenue</w:t>
            </w:r>
          </w:p>
        </w:tc>
      </w:tr>
      <w:tr>
        <w:tc>
          <w:tcPr>
            <w:tcW w:type="dxa" w:w="2700"/>
          </w:tcPr>
          <w:p>
            <w:r>
              <w:t xml:space="preserve">CapEx/revenue</w:t>
            </w:r>
          </w:p>
        </w:tc>
        <w:tc>
          <w:tcPr>
            <w:tcW w:type="dxa" w:w="2700"/>
          </w:tcPr>
          <w:p>
            <w:r>
              <w:t xml:space="preserve">&gt;$20B guided vs. ~$60-65B [EST] revenue → </w:t>
            </w:r>
            <w:r>
              <w:rPr>
                <w:b/>
                <w:bCs/>
              </w:rPr>
              <w:t xml:space="preserve">&gt;30%+</w:t>
            </w:r>
          </w:p>
        </w:tc>
        <w:tc>
          <w:tcPr>
            <w:tcW w:type="dxa" w:w="2700"/>
          </w:tcPr>
          <w:p>
            <w:r>
              <w:t xml:space="preserve">Sector appendix's own explicit flag: "&gt;30% without matching revenue growth = capital efficiency concern"</w:t>
            </w:r>
          </w:p>
        </w:tc>
        <w:tc>
          <w:tcPr>
            <w:tcW w:type="dxa" w:w="2700"/>
          </w:tcPr>
          <w:p>
            <w:r>
              <w:rPr>
                <w:b/>
                <w:bCs/>
              </w:rPr>
              <w:t xml:space="preserve">Directly triggers this flag</w:t>
            </w:r>
            <w:r>
              <w:t xml:space="preserve"> — revenue growth (+25% YoY) is real but has not yet demonstrably outpaced the CapEx ramp on a multi-year view</w:t>
            </w:r>
          </w:p>
        </w:tc>
      </w:tr>
      <w:tr>
        <w:tc>
          <w:tcPr>
            <w:tcW w:type="dxa" w:w="2700"/>
          </w:tcPr>
          <w:p>
            <w:r>
              <w:t xml:space="preserve">Book-to-bill, inventory days</w:t>
            </w:r>
          </w:p>
        </w:tc>
        <w:tc>
          <w:tcPr>
            <w:tcW w:type="dxa" w:w="2700"/>
          </w:tcPr>
          <w:p>
            <w:r>
              <w:t xml:space="preserve">Unavailable</w:t>
            </w:r>
          </w:p>
        </w:tc>
        <w:tc>
          <w:tcPr>
            <w:tcW w:type="dxa" w:w="2700"/>
          </w:tcPr>
          <w:p>
            <w:r>
              <w:t xml:space="preserve">—</w:t>
            </w:r>
          </w:p>
        </w:tc>
        <w:tc>
          <w:tcPr>
            <w:tcW w:type="dxa" w:w="2700"/>
          </w:tcPr>
          <w:p>
            <w:r>
              <w:t xml:space="preserve">Not sourced this pass</w:t>
            </w:r>
          </w:p>
        </w:tc>
      </w:tr>
      <w:tr>
        <w:tc>
          <w:tcPr>
            <w:tcW w:type="dxa" w:w="2700"/>
          </w:tcPr>
          <w:p>
            <w:r>
              <w:t xml:space="preserve">Customer concentration</w:t>
            </w:r>
          </w:p>
        </w:tc>
        <w:tc>
          <w:tcPr>
            <w:tcW w:type="dxa" w:w="2700"/>
          </w:tcPr>
          <w:p>
            <w:r>
              <w:t xml:space="preserve">External Foundry customer base still nascent (Tesla named, no major named commitment beyond early PDK stage)</w:t>
            </w:r>
          </w:p>
        </w:tc>
        <w:tc>
          <w:tcPr>
            <w:tcW w:type="dxa" w:w="2700"/>
          </w:tcPr>
          <w:p>
            <w:r>
              <w:t xml:space="preserve">&gt;20% single-customer = key-man risk</w:t>
            </w:r>
          </w:p>
        </w:tc>
        <w:tc>
          <w:tcPr>
            <w:tcW w:type="dxa" w:w="2700"/>
          </w:tcPr>
          <w:p>
            <w:r>
              <w:t xml:space="preserve">Foundry has the opposite problem currently — too little external customer revenue to assess concentration risk meaningfully</w:t>
            </w:r>
          </w:p>
        </w:tc>
      </w:tr>
    </w:tbl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11. Five-Year Ratio Trend Analysis</w:t>
      </w:r>
    </w:p>
    <w:p>
      <w:pPr>
        <w:pStyle w:val="Heading2"/>
        <w:spacing w:after="100" w:before="200"/>
      </w:pPr>
      <w:r>
        <w:t xml:space="preserve">Base Ratio 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542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FY2021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TTM/Recent</w:t>
            </w:r>
          </w:p>
        </w:tc>
      </w:tr>
      <w:tr>
        <w:tc>
          <w:tcPr>
            <w:tcW w:type="dxa" w:w="1542"/>
          </w:tcPr>
          <w:p>
            <w:r>
              <w:t xml:space="preserve">Revenue ($B)</w:t>
            </w:r>
          </w:p>
        </w:tc>
        <w:tc>
          <w:tcPr>
            <w:tcW w:type="dxa" w:w="1542"/>
          </w:tcPr>
          <w:p>
            <w:r>
              <w:t xml:space="preserve">79.02</w:t>
            </w:r>
          </w:p>
        </w:tc>
        <w:tc>
          <w:tcPr>
            <w:tcW w:type="dxa" w:w="1542"/>
          </w:tcPr>
          <w:p>
            <w:r>
              <w:t xml:space="preserve">63.05</w:t>
            </w:r>
          </w:p>
        </w:tc>
        <w:tc>
          <w:tcPr>
            <w:tcW w:type="dxa" w:w="1542"/>
          </w:tcPr>
          <w:p>
            <w:r>
              <w:t xml:space="preserve">54.23</w:t>
            </w:r>
          </w:p>
        </w:tc>
        <w:tc>
          <w:tcPr>
            <w:tcW w:type="dxa" w:w="1542"/>
          </w:tcPr>
          <w:p>
            <w:r>
              <w:t xml:space="preserve">53.10</w:t>
            </w:r>
          </w:p>
        </w:tc>
        <w:tc>
          <w:tcPr>
            <w:tcW w:type="dxa" w:w="1542"/>
          </w:tcPr>
          <w:p>
            <w:r>
              <w:t xml:space="preserve">52.85</w:t>
            </w:r>
          </w:p>
        </w:tc>
        <w:tc>
          <w:tcPr>
            <w:tcW w:type="dxa" w:w="1542"/>
          </w:tcPr>
          <w:p>
            <w:r>
              <w:t xml:space="preserve">~60-65 [EST, H1'26 running well above FY25 pace]</w:t>
            </w:r>
          </w:p>
        </w:tc>
      </w:tr>
      <w:tr>
        <w:tc>
          <w:tcPr>
            <w:tcW w:type="dxa" w:w="1542"/>
          </w:tcPr>
          <w:p>
            <w:r>
              <w:t xml:space="preserve">Revenue growth YoY</w:t>
            </w:r>
          </w:p>
        </w:tc>
        <w:tc>
          <w:tcPr>
            <w:tcW w:type="dxa" w:w="1542"/>
          </w:tcPr>
          <w:p>
            <w:r>
              <w:t xml:space="preserve">—</w:t>
            </w:r>
          </w:p>
        </w:tc>
        <w:tc>
          <w:tcPr>
            <w:tcW w:type="dxa" w:w="1542"/>
          </w:tcPr>
          <w:p>
            <w:r>
              <w:t xml:space="preserve">-20.2%</w:t>
            </w:r>
          </w:p>
        </w:tc>
        <w:tc>
          <w:tcPr>
            <w:tcW w:type="dxa" w:w="1542"/>
          </w:tcPr>
          <w:p>
            <w:r>
              <w:t xml:space="preserve">-14.0%</w:t>
            </w:r>
          </w:p>
        </w:tc>
        <w:tc>
          <w:tcPr>
            <w:tcW w:type="dxa" w:w="1542"/>
          </w:tcPr>
          <w:p>
            <w:r>
              <w:t xml:space="preserve">-2.1%</w:t>
            </w:r>
          </w:p>
        </w:tc>
        <w:tc>
          <w:tcPr>
            <w:tcW w:type="dxa" w:w="1542"/>
          </w:tcPr>
          <w:p>
            <w:r>
              <w:t xml:space="preserve">-0.5%</w:t>
            </w:r>
          </w:p>
        </w:tc>
        <w:tc>
          <w:tcPr>
            <w:tcW w:type="dxa" w:w="1542"/>
          </w:tcPr>
          <w:p>
            <w:r>
              <w:t xml:space="preserve">Reaccelerating sharply (Q2'26 +25.4%)</w:t>
            </w:r>
          </w:p>
        </w:tc>
      </w:tr>
      <w:tr>
        <w:tc>
          <w:tcPr>
            <w:tcW w:type="dxa" w:w="1542"/>
          </w:tcPr>
          <w:p>
            <w:r>
              <w:t xml:space="preserve">Net income ($B)</w:t>
            </w:r>
          </w:p>
        </w:tc>
        <w:tc>
          <w:tcPr>
            <w:tcW w:type="dxa" w:w="1542"/>
          </w:tcPr>
          <w:p>
            <w:r>
              <w:t xml:space="preserve">Positive [not re-sourced]</w:t>
            </w:r>
          </w:p>
        </w:tc>
        <w:tc>
          <w:tcPr>
            <w:tcW w:type="dxa" w:w="1542"/>
          </w:tcPr>
          <w:p>
            <w:r>
              <w:t xml:space="preserve">Positive [not re-sourced]</w:t>
            </w:r>
          </w:p>
        </w:tc>
        <w:tc>
          <w:tcPr>
            <w:tcW w:type="dxa" w:w="1542"/>
          </w:tcPr>
          <w:p>
            <w:r>
              <w:t xml:space="preserve">Positive [not re-sourced]</w:t>
            </w:r>
          </w:p>
        </w:tc>
        <w:tc>
          <w:tcPr>
            <w:tcW w:type="dxa" w:w="1542"/>
          </w:tcPr>
          <w:p>
            <w:r>
              <w:rPr>
                <w:b/>
                <w:bCs/>
              </w:rPr>
              <w:t xml:space="preserve">-18.76</w:t>
            </w:r>
          </w:p>
        </w:tc>
        <w:tc>
          <w:tcPr>
            <w:tcW w:type="dxa" w:w="1542"/>
          </w:tcPr>
          <w:p>
            <w:r>
              <w:rPr>
                <w:b/>
                <w:bCs/>
              </w:rPr>
              <w:t xml:space="preserve">-0.27</w:t>
            </w:r>
          </w:p>
        </w:tc>
        <w:tc>
          <w:tcPr>
            <w:tcW w:type="dxa" w:w="1542"/>
          </w:tcPr>
          <w:p>
            <w:r>
              <w:rPr>
                <w:b/>
                <w:bCs/>
              </w:rPr>
              <w:t xml:space="preserve">-11.29</w:t>
            </w:r>
            <w:r>
              <w:t xml:space="preserve"> (TTM, heavily distorted by the Q2'26 $12.5B mark-to-market item — NOT a clean operating read)</w:t>
            </w:r>
          </w:p>
        </w:tc>
      </w:tr>
      <w:tr>
        <w:tc>
          <w:tcPr>
            <w:tcW w:type="dxa" w:w="1542"/>
          </w:tcPr>
          <w:p>
            <w:r>
              <w:t xml:space="preserve">Shares outstanding (M, diluted)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4,280</w:t>
            </w:r>
          </w:p>
        </w:tc>
        <w:tc>
          <w:tcPr>
            <w:tcW w:type="dxa" w:w="1542"/>
          </w:tcPr>
          <w:p>
            <w:r>
              <w:t xml:space="preserve">4,530</w:t>
            </w:r>
          </w:p>
        </w:tc>
        <w:tc>
          <w:tcPr>
            <w:tcW w:type="dxa" w:w="1542"/>
          </w:tcPr>
          <w:p>
            <w:r>
              <w:t xml:space="preserve">~5,043 (June'26) → likely ~5,250+ current [EST]</w:t>
            </w:r>
          </w:p>
        </w:tc>
      </w:tr>
      <w:tr>
        <w:tc>
          <w:tcPr>
            <w:tcW w:type="dxa" w:w="1542"/>
          </w:tcPr>
          <w:p>
            <w:r>
              <w:t xml:space="preserve">Gross margin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41.8% (Q2'26 non-GAAP)</w:t>
            </w:r>
          </w:p>
        </w:tc>
      </w:tr>
      <w:tr>
        <w:tc>
          <w:tcPr>
            <w:tcW w:type="dxa" w:w="1542"/>
          </w:tcPr>
          <w:p>
            <w:r>
              <w:t xml:space="preserve">Total debt ($B)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[not re-sourced]</w:t>
            </w:r>
          </w:p>
        </w:tc>
        <w:tc>
          <w:tcPr>
            <w:tcW w:type="dxa" w:w="1542"/>
          </w:tcPr>
          <w:p>
            <w:r>
              <w:t xml:space="preserve">~50.5 (June'26)</w:t>
            </w:r>
          </w:p>
        </w:tc>
      </w:tr>
    </w:tbl>
    <w:p>
      <w:r>
        <w:t xml:space="preserve">*A genuinely thinner historical table than most other names analyzed this session — several rows (historical gross margin, net income by year prior to FY2024, historical debt levels) were not independently re-sourced within this fork's research budget and are left blank rather than imputed, per the agent's own rule. The two rows that ARE fully populated — revenue decline into FY2025 and the FY2024/2025 net losses — already tell the core turnaround story on their own.*</w:t>
      </w:r>
    </w:p>
    <w:p>
      <w:pPr>
        <w:pStyle w:val="Heading2"/>
        <w:spacing w:after="100" w:before="200"/>
      </w:pPr>
      <w:r>
        <w:t xml:space="preserve">Interpretation</w:t>
      </w:r>
    </w:p>
    <w:p>
      <w:r>
        <w:t xml:space="preserve">The revenue collapse (FY2021→FY2025, -33%) and net losses (FY2024/2025) are the multi-year decline that defines the "Turnaround" categorization in Section 3. </w:t>
      </w:r>
      <w:r>
        <w:rPr>
          <w:b/>
          <w:bCs/>
        </w:rPr>
        <w:t xml:space="preserve">The most decision-relevant recent datapoint is the reacceleration itself</w:t>
      </w:r>
      <w:r>
        <w:t xml:space="preserve">: two consecutive quarters of strong YoY revenue growth (Q1 and Q2 2026, the latter +25.4%) after four years of decline — genuinely the first hard evidence the operational trajectory has inflected, not just a single good print. The </w:t>
      </w:r>
      <w:r>
        <w:rPr>
          <w:b/>
          <w:bCs/>
        </w:rPr>
        <w:t xml:space="preserve">shares-outstanding row is the other side of that same coin</w:t>
      </w:r>
      <w:r>
        <w:t xml:space="preserve">: the turnaround is real, but it's being funded by diluting existing shareholders at a pace (+20-25% in under two years) that materially caps how much of the recovery accrues per-share — the same tension Section 4 and Fisher's #13 already flagged, visible here as a trend rather than a single data point.</w:t>
      </w:r>
    </w:p>
    <w:p>
      <w:pPr>
        <w:pBdr>
          <w:bottom w:val="single" w:color="AAAAAA" w:sz="6"/>
        </w:pBdr>
      </w:pPr>
    </w:p>
    <w:p>
      <w:pPr>
        <w:pStyle w:val="Heading1"/>
        <w:spacing w:after="120" w:before="240"/>
      </w:pPr>
      <w:r>
        <w:t xml:space="preserve">12. Final Verdict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INTC | A-SM (turnaround core + binary foundry optionality) | Turnaround
DCF Bear-Base-Bull: ~$35 / ~$95 / ~$210 | MoS Gate: NONE (price between
Base and Bull, closer to Base)
Compounder: TRADE ONLY (1/9 clear pass — CapEx intensity and total absence
of self-funded growth are the decisive failures)
AI Impact: MIXED — genuine tailwind for DCAI (AI-datacenter-driven revenue,
+59% YoY) and for Foundry's strategic rationale (AI-driven CapEx supercycle
is exactly what's funding the turnaround attempt), but Intel remains a
structural share-LOSER to Nvidia in AI silicon specifically — this is
"benefiting from the AI buildout's general datacenter/CapEx tailwind,"
not "competing with and winning against Nvidia," and should not be read
as a clean AI-beneficiary thesis the way DY's confirmed backlog was
Horizon: N/A (TRADE ONLY) — if reassessed, would require the foundry
external-customer trajectory to become genuinely established, not the
current early-PDK-stage engagement
Thesis Invalidation: no major external 14A customer commitment materializes
within roughly the next 2-3 years (Tesla's Terafab remains the only named
engagement), OR DCAI growth decelerates sharply from the current +59% YoY
pace without a clear cause, OR a further large dilutive capital raise
occurs without a commensurate strategic milestone attached, OR the
shareholder lawsuit over the government equity stake produces a materially
adverse outcome</w:t>
      </w:r>
    </w:p>
    <w:p>
      <w:r>
        <w:rPr>
          <w:b/>
          <w:bCs/>
        </w:rPr>
        <w:t xml:space="preserve">Summary</w:t>
      </w:r>
      <w:r>
        <w:t xml:space="preserve">: Intel in September 2026 is a genuine, real operational inflection — the first positive GAAP operating quarter in years, DCAI growing fast on real AI-datacenter demand, a new CEO who put personal money in at $95 — wrapped around an equally genuine, unresolved binary bet: whether Intel Foundry ever becomes a credible third-party manufacturer against TSMC, currently evidenced by $293M of external quarterly revenue and one early-stage named customer (Tesla) rather than a proven business. The government/Nvidia/SoftBank capital has real economic value (it substantially de-risks near-term survival and directly funds the CapEx the foundry bet requires) but it has arrived as dilution, not free money — shareholders are funding roughly a quarter of this turnaround themselves through a shrinking ownership stake, a cost this analysis's price-based framework treats with exactly the same weight as any other structural headwind. The single most important thing that would change this verdict: a real, named, large external foundry customer commitment beyond the current early-engagement stage — that's the one piece of evidence that would move this from "turnaround with strategic backing and binary risk" toward something closer to Section 6's Bull case.</w:t>
      </w:r>
    </w:p>
    <w:p>
      <w:r>
        <w:rPr>
          <w:b/>
          <w:bCs/>
        </w:rPr>
        <w:t xml:space="preserve">Scope note</w:t>
      </w:r>
      <w:r>
        <w:t xml:space="preserve">: this fork's directive covered INTC only, executed directly per the fork protocol (no sub-agents spawned). Several figures are flagged [EST] or left blank where independent sourcing wasn't completed within this single-pass research budget — most notably: precise FY2021-2023 historical margin/net-income/share-count data, exact current (post-August-raise) share count, and an independently-computed accrual ratio/RNOA decomposition. These gaps are disclosed rather than papered over, consistent with the agent's own rules.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2026-09-22T21:30:32.348Z</dcterms:created>
  <dcterms:modified xsi:type="dcterms:W3CDTF">2026-09-22T21:30:32.350Z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