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LITE — Lumentum Holdings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Long-Term Deep-Dive | long-term-analyst.md, Deep-Dive Mode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Date: 2026-09-22 | Price used: $929.53 (Sept 20, 2026 close) | Shares out: 88.6M | Market cap: ~$82.4B</w:t>
      </w:r>
    </w:p>
    <w:p>
      <w:pPr>
        <w:pStyle w:val="Heading1"/>
        <w:spacing w:after="150" w:before="300"/>
      </w:pPr>
      <w:r>
        <w:t xml:space="preserve">0. Recent Context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Last reported quarter — Q4 FY2026 (ended June 27, 2026), reported Aug 11, 2026: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$1.01B, up from $480.7M in Q4 FY2025 (+109% YoY), and up from $808.4M in Q3 FY2026 (+25% QoQ).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Non-GAAP gross margin 50.4% (GAAP 47.4%), vs Q3 FY26 non-GAAP 47.9% and Q1 FY26 non-GAAP 39.4% — four consecutive quarters of margin expansion.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Non-GAAP EPS $3.23 vs $2.97 consensus (+8.8% beat); revenue also beat the $987.7M consensus.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GAAP result: net loss of $7.162B for the quarter, driven entirely by a $7.8B one-time, non-cash loss on debt extinguishment from equitizing convertible notes — not an operating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Guidance for Q1 FY2027: revenue $1.225B–$1.275B (vs. $533.8M in Q1 FY26 — implies +130–139% YoY, an acceleration from Q4's +109%); non-GAAP operating margin 39.5–40.5%; non-GAAP diluted EPS $4.05–$4.35. Management says this reaches the target operating model more than a quarter ahead of schedule. Consensus: EPS $4.27, revenue $1.27B.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Management attributes the beat and guide entirely to cloud/AI datacenter demand, specifically the 800G→1.6T optical transceiver transition.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Recent news (trailing ~60–90 days):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Sept 8, 2025: issued $1.265B of 0.375% convertible senior notes due 2032 (proceeds used for capped calls and repurchasing existing converts).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Through FY26: swapped ~$474.6M of convertible notes for ~5.7M shares; total debt fell from $3,281.8M (Mar 28, 2026) to ~$1.64–1.67B (June 27, 2026) as in-the-money converts converted — this drove both the balance-sheet deleveraging and the GAAP debt-extinguishment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Analyst targets: 24 analysts, consensus Buy, average price target $1,140–$1,148 (range $820–$1,400), up +3.84% over 3 months; 20 Buy / 4 Hold / 0 Sell.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Insider activity: routine Rule 10b5-1 sales by Yuen Wupen (President, Global Business Units) and other senior execs through September (e.g., 500 shares Sept 16 at $856.83; 500 shares Sept 18 at $920.00) — each reducing the seller's position by &lt;1%. Not read as a red flag given plan-based timing and small relative size.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 reporting change: from Q1 FY26 Lumentum retired its two prior reportable segments (Cloud &amp; Networking / Industrial Tech) and now reports as a single segment — reduces disclosure granularity on AI/cloud vs. telecom vs. 3D-sensing revenue mix right when investors most want that breakdown.</w:t>
      </w:r>
    </w:p>
    <w:p>
      <w:pPr>
        <w:pStyle w:val="Heading1"/>
        <w:spacing w:after="150" w:before="300"/>
      </w:pPr>
      <w:r>
        <w:t xml:space="preserve">1. Business Overview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Segments: Lumentum makes optical and photonic components and subsystems. Through FY2025 it reported two segments — Cloud &amp; Networking (datacom/telecom transceivers, optical components) and Industrial Tech (3D-sensing laser diodes, e.g. smartphone face-ID, plus industrial/commercial lasers). Industrial Tech was ~11.8% of revenue in the last period broken out separately. From Q1 FY26 the company reports as a single segment; management now describes it by product type instead: Components (laser chips, optical subassemblies) ≈71% of revenue, Systems (datacom transceivers, Optical Circuit Switches) ≈ the remainder. The FY26 growth story (+109% YoY in Q4, attributed entirely to "cloud and AI demand") implies cloud/AI-datacenter optics has gone from a large minority to the clear majority driver, but an exact AI/cloud % of revenue is no longer disclosed — a genuine disclosure gap, not filled with an invented number.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Principal markets: hyperscale cloud/AI datacenter operators and networking-equipment makers (specific customer concentration % not disclosed in sources reviewed), plus telecom carriers (legacy Cloud &amp; Networking) and smartphone OEMs (3D sensing). Competitors: Coherent Corp. (post-II-VI/Finisar), Fabrinet (contract manufacturer to several optics players), and fast-growing Chinese entrants (Innolight, Eoptolink) in transceivers.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TAM: global datacom optical module market ~$6.25B (2023) growing to ~$25.8B by 2029 (~27% CAGR); a related estimate puts the 400G+ datacom module sub-segment at ~$30B by 2029. These are third-party industry estimates, not a Lumentum-disclosed figure. FY26 revenue ($3.01B) spans the entire product range, not just datacom-AI, so a clean penetration ratio isn't directly computable. As a bounded, explicitly-flagged estimate: if roughly half-to-two-thirds of FY26 revenue (~$1.5–2.0B) is cloud/AI-datacom-related, that implies ~6–8% current penetration of the ~$25.8B 2029 TAM already. Separately, Lumentum holds an estimated 50–60% global share in high-end (200G) laser chips (EMLs) used in 800G/1.6T transceivers — a narrower, higher-confidence claim than the broader TAM estimate.</w:t>
      </w:r>
    </w:p>
    <w:p>
      <w:pPr>
        <w:pStyle w:val="Heading1"/>
        <w:spacing w:after="150" w:before="300"/>
      </w:pPr>
      <w:r>
        <w:t xml:space="preserve">2. Routing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Track B — SM (Semiconductors &amp; AI infrastructure). Lumentum is not a GPU/NPU designer, but its core value driver — laser chips and optical engines moving data inside/between AI datacenters at 800G/1.6T — is AI-infrastructure hardware, and the company is described by sell-side/trade press as "the optical engine behind the AI datacenter revolution." Track B's growth/quality-weighted scoring and the Semiconductors Sector Appendix (AI/data-centre revenue %, gross margin, book-to-bill, customer concentration) are the right lens; a generic Track A industrials read would misprice this business.</w:t>
      </w:r>
    </w:p>
    <w:p>
      <w:pPr>
        <w:pStyle w:val="Heading1"/>
        <w:spacing w:after="150" w:before="300"/>
      </w:pPr>
      <w:r>
        <w:t xml:space="preserve">3. Categorization (Lynch)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Fast Grower, with a Cyclical secondary character. FY26 revenue +83% YoY and Q1 FY27 guided +130–139% YoY is well beyond a 20–25% "fast grower" — this is a hypergrowth inflection. But this is the same company that reported GAAP net losses of -$546.5M (FY24) and -$131.6M (FY23) during the post-COVID optical-component digestion cycle. Lumentum's history is genuinely boom-bust; the current boom is real but not the company's first.</w:t>
      </w:r>
    </w:p>
    <w:p>
      <w:pPr>
        <w:pStyle w:val="Heading1"/>
        <w:spacing w:after="150" w:before="300"/>
      </w:pPr>
      <w:r>
        <w:t xml:space="preserve">4. Earnings Quality (Penman)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GAAP earnings are not a usable signal for FY26 — the entire year's GAAP result is a single transitory item. FY26 GAAP net loss was -$6.935B (-$92.96/share), driven almost entirely by a $7.8B one-time non-cash loss on debt extinguishment from equitizing convertible notes. Non-GAAP net income for the same year was +$782.3M (+$8.67/share) — a swing of over $9B between the two measures from one non-recurring, non-operating item.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is not a one-off pattern. FY2025 shows the mirror image at smaller scale: GAAP net income was positive (+$25.9M) despite a negative GAAP operating margin (-11.68%) — a large non-operating gain (consistent with earlier gains on repurchasing converts below carrying value, pre-AI-rerate) is doing the work, not the operating business. Two consecutive fiscal years where GAAP net income has been dominated by debt-related, non-operating items is a genuine earnings-quality flag independent of the AI growth story.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RNOA vs. leverage: capital structure is now overwhelmingly equity-funded — Debt/Equity fell from 2.30x (FY25) to 0.36x (FY26), and the company moved to a small net cash position (+$394M) for the first time in five years. Going forward, ROE should track operating performance (RNOA) far more cleanly than historically, a genuine improvement in earnings-quality clarity even though the FY26 GAAP number itself is unusable.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Trailing-quarter margins (actual figures): GAAP gross margin rose every quarter in FY26 — Q1 34.0% → Q2 36.1% → Q3 44.2% → Q4 47.4%; non-GAAP gross margin Q1 39.4% → Q4 50.4%. A real, monotonic four-quarter trend.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Dilution: shares outstanding rose from 69.8M to 88.6M in FY26 alone — +26.9% in one year, entirely from convert equitization. A real per-share cost to existing holders even though it improved the balance sheet.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Accrual ratio: not independently computable to Jones/Sloan precision from sources reviewed — flagged as unavailable rather than estimated. The GAAP-vs-non-GAAP gap above is the dominant, better-evidenced earnings-quality finding for this ticker this year.</w:t>
      </w:r>
    </w:p>
    <w:p>
      <w:pPr>
        <w:pStyle w:val="Heading1"/>
        <w:spacing w:after="150" w:before="300"/>
      </w:pPr>
      <w:r>
        <w:t xml:space="preserve">5. Valuation — DCF (Koller)</w:t>
      </w:r>
    </w:p>
    <w:p>
      <w:pPr>
        <w:pStyle w:val="Heading2"/>
        <w:spacing w:after="120" w:before="240"/>
      </w:pPr>
      <w:r>
        <w:t xml:space="preserve">WACC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Source/basis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Risk-free rate (10Y UST)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4.96%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Today's macro pipeline read (macro_report_2026-09-22.md)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Equity risk premium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Damodaran implied ERP, US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Beta (5yr)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1.39–1.54 (mid 1.45)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Investing.com (1.39) and a second source (1.54) — range used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of equity (Re)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11.21%–11.89% (mid 11.49%)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 + β×ERP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of debt (Rd)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~5.8% [ESTIMATED]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coupon (0.375%) not representative given embedded option value; no independent straight-bond yield found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 rate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Approximate marginal/blended; NOLs from FY23-24 losses not modeled explicitly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E/V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cap $82.4B vs total capital $84.0B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D/V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debt ~$1.65B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WACC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~11.35%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Capital structure now so equity-heavy that WACC ≈ Re almost regardless of Rd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This sits at the top edge of the agent's own "typical 8.5–11% US range" — consistent with a high-beta, single-product-cycle-dependent hardware name, not a red flag on its own.</w:t>
      </w:r>
    </w:p>
    <w:p>
      <w:pPr>
        <w:pStyle w:val="Heading2"/>
        <w:spacing w:after="120" w:before="240"/>
      </w:pPr>
      <w:r>
        <w:t xml:space="preserve">Bear / Base / Bull scenarios (FY27–FY31 explicit, Key Value Driver terminal value)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400"/>
        <w:gridCol w:w="1300"/>
        <w:gridCol w:w="90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FY27 growth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Margin path (NOPLAT)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Terminal ROIC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Per-share value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TV % of EV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+30% (decel. to 5% by FY31)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20%→16%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+55% (decel. to 10% by FY31)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24%→23%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~100%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+75% (decel. to 15% by FY31)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27%→29%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$224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~100%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Terminal value &gt;90% of EV in every scenario is expected for a hypergrowth name still reinvesting most of its NOPLAT, but it means these values are almost entirely a function of the terminal-year assumption, not the explicit forecast.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Stress-test — "Super-Bull" case (NVIDIA-like 30–40% NOPLAT margins, 30–40% terminal ROIC, sustained 90%→18% growth glide, and a lower WACC of 9.5% rather than 11.35%): $398–574/share.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MoS Gate: NONE.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current price ($929.53) sits above every scenario constructed here, including the deliberately aggressive Super-Bull stress test with best-in-class semiconductor margins and a more favorable discount rate. There is no scenario in this workup, reasonable or stretched, that licenses today's price on DCF grounds alone. This directly caps the Compounder verdict in Section 9 regardless of the business-quality read.</w:t>
      </w:r>
    </w:p>
    <w:p>
      <w:pPr>
        <w:pStyle w:val="Heading1"/>
        <w:spacing w:after="150" w:before="300"/>
      </w:pPr>
      <w:r>
        <w:t xml:space="preserve">6. Mauboussin — Price-Implied Expectations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direct "solve for the growth rate" search (holding Base-case margins/ROIC fixed) diverged toward implausible multi-hundred-percent sustained growth — the more honest statement is qualitative, anchored to the DCF work above: to justify $929.53/share, the market needs one or more of: (a) revenue growth sustained meaningfully above even this report's Bull-case glide path (75%→15% over 5 years) for most of the explicit period, (b) terminal operating margins/ROIC at or above the best semiconductor franchises in existence (30%+ NOPLAT margin, 30%+ ROIC in perpetuity — never demonstrated by LITE even at its FY26 exit run-rate), (c) a durable CAP long enough to make that terminal ROIC credible for a decade or more, or (d) the market is pricing this as a momentum/multiple-expansion trade rather than a DCF-consistent one. Per Mauboussin's base-rate discipline, LITE's guided Q1 FY27 growth of +130–139% is already a dramatic outlier vs. every historical base rate — price is not just assuming the outlier continues, it appears to require it to continue for years.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Moat type and CAP: Cost advantage (dominant share in a specific, hard-to-replicate manufacturing process) is the best-fitting moat category, not network effects or switching costs — the two types that reliably sustain ROIC&gt;15% for 10+ years per Framework 8. A cost-advantage moat here is historically narrow-to-wide (3–10 years), not exceptional — Lumentum's own FY23–24 loss years are direct evidence this specific moat did not protect margins in the prior down-cycle. A 5-year explicit CAP was used in the DCF above, a middle-of-range estimate.</w:t>
      </w:r>
    </w:p>
    <w:p>
      <w:pPr>
        <w:pStyle w:val="Heading1"/>
        <w:spacing w:after="150" w:before="300"/>
      </w:pPr>
      <w:r>
        <w:t xml:space="preserve">7. Fisher — Qualitative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#5/#6 (margins, worthwhile and improving?): Positive and well-evidenced — four consecutive quarters of GAAP and non-GAAP gross-margin expansion in FY26 (34.0%→47.4% GAAP). Absolute level (47–50%) is solid but not yet at the "strong fabless" 55%+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#11 (competitive edge): Positive — 50–60% share in high-end (200G EML) laser chips is a genuine, named technological edge.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#13 (dilution): Negative, and material — +26.9% share count in one fiscal year from convertible-note equitization. Even though it deleveraged the balance sheet, it is real per-share dilution.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#15 (management integrity/disclosure): Neutral-to-mild caution. No evidence of evasiveness or unusual insider selling found. But retiring segment-level reporting right as investors most want AI/cloud revenue-mix clarity is a real reduction in disclosure granularity.</w:t>
      </w:r>
    </w:p>
    <w:p>
      <w:pPr>
        <w:pStyle w:val="Heading1"/>
        <w:spacing w:after="150" w:before="300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Value: Absent. No conventional value signal — trailing non-GAAP P/E ~107x, EV/Revenue ~27x.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Quality/Profitability: Mixed, improving. Margin/ROIC trend genuinely improving fast, but FCF conversion is weak and the 5-year history includes two loss years — too short a track record at today's quality level to call this "high quality" yet.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Momentum: Present, and extreme. Market cap +743% over the trailing year, price near its 52-week high.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 Beta/Defensive: Absent. Beta 1.39–1.54 — the opposite of this factor.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Combined signal: effectively a single-factor momentum bet, not the overlapping cheap+quality+momentum combination Ilmanen flags as most durable. A single-factor bet carries materially higher risk, especially set against Section 5's finding that price clears no DCF scenario constructed here.</w:t>
      </w:r>
    </w:p>
    <w:p>
      <w:pPr>
        <w:pStyle w:val="Heading1"/>
        <w:spacing w:after="150" w:before="300"/>
      </w:pPr>
      <w:r>
        <w:t xml:space="preserve">9. Quality Compounder Screen (Framework 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Pass/Flag/Unavailable</w:t>
            </w:r>
          </w:p>
        </w:tc>
        <w:tc>
          <w:tcPr>
            <w:tcW w:type="dxa" w:w="4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ROIC 5-yr average &gt;15%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FY23/24 loss years; FY26 blended ROIC ≈9.7% (Q4 run-rate ≈23.4%, one quarter only)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ROIC trend stable/improving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Sharp improvement: negative (FY23-24) → 9.7% blended → 23.4% Q4-annualized exit rate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margin &gt;15%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(marginal, recent only)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17.79% blended; FY24/25 were negative — one-year data point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FCF conversion (FCF/NI) &gt;80%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Non-GAAP NI $782.3M vs FCF $300.1M: ~38% conversion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 intensity &lt;10%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independently sourced CapEx $ isolated from OCF/FCF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growth self-funded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+26.9% share count in FY26 alone from convert equitization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equity ownership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 in this 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Buyback discipline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Fail/Inapplicable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buyback activity found; net share issuer this year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M&amp;A discipline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Unavailable/N.A.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material M&amp;A activity found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Count: 2 clear passes, 2 clear fails, 2 flags, 3 unavailable. Per the framework's count rule (7+ = COMPOUNDER, 4–6 = QUALITY, &lt;4 = TRADE ONLY), this does not clear even the QUALITY bar on pass-count alone.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Verdict: TRADE ONLY.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holds independent of, and is reinforced by, the Section 5 finding that price clears no constructed DCF scenario (MoS Gate NONE) — both the business-quality count and the price-discipline check point the same direction. No averaging down; exit discipline is critical here.</w:t>
      </w:r>
    </w:p>
    <w:p>
      <w:pPr>
        <w:pStyle w:val="Heading1"/>
        <w:spacing w:after="150" w:before="300"/>
      </w:pPr>
      <w:r>
        <w:t xml:space="preserve">10. Sector Appendix — Semiconductors (SM)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LITE actual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Benchmark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50.4% non-GAAP (Q4) / 47.4% GAAP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Fabless &gt;55% strong; IDM &gt;45% strong, &lt;35% flag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Clears IDM-strong; below fabless-strong — LITE is a hybrid, neither benchmark is a clean fit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Book-to-bill ratio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&gt;1.0 = demand growing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disclosed/found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 days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= demand weakness ahead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AI/data-centre revenue %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 — disclosure gap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split metric for semis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 reporting retired FY26 Q1; qualitative evidence only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concentration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&gt;20% single customer = key-man risk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researched; known structural industry risk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CapEx/revenue (IDM)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&gt;30% w/o matching growth = concern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isolated CapEx figure found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The AI/data-centre revenue % gap is the single most consequential missing data point in this report — explicitly the most important new metric for semis per this same appendix, and Lumentum's own FY26 segment-reporting change removed the disclosure that would answer it.</w:t>
      </w:r>
    </w:p>
    <w:p>
      <w:pPr>
        <w:pStyle w:val="Heading1"/>
        <w:spacing w:after="150" w:before="300"/>
      </w:pPr>
      <w:r>
        <w:t xml:space="preserve">11. Five-Year Ratio Trend Analysis</w:t>
      </w:r>
    </w:p>
    <w:p>
      <w:pPr>
        <w:pStyle w:val="Heading2"/>
        <w:spacing w:after="120" w:before="240"/>
      </w:pPr>
      <w:r>
        <w:t xml:space="preserve">Base Ratio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400"/>
        <w:gridCol w:w="16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FY22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FY23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FY24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FY25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TTM (FY26)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($M)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1,767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1,359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1,645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3,014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growth YoY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+3.2%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-23.1%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+21.0%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+83.2%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49.72%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37.98%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24.68%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32.95%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44.24% blended; 50.4% Q4 exit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margin (EBITDA-margin proxy)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18.14%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-2.26%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-26.59%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-11.68%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17.79%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margin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11.6%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-7.4%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-40.2%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-230.1% GAAP / 26.0% non-GAAP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ROE (NI / yr-end equity)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10.6%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-9.7%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-57.1%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-149.3% GAAP / 16.8% non-GAAP basis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P/E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~224x [EST]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n/m GAAP / ~107.2x non-GAAP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P/S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~3.5x [EST]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~27.3x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P/B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~5.1x [EST]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~17.7x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EV/Revenue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~4.8x [EST]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~27.2x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EV/EBITDA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Debt/Equity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1.03x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2.12x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2.67x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2.30x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0.36x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cash/(net debt), $M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(646)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(2,015)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(2,123)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(2,087)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+394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FCF margin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21.49%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2.90%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-7.97%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-6.37%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9.96%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Historical FY22–24 fiscal-year-end share prices were not independently confirmed in this research pass; rather than estimate them, those cells are left as n/a per the agent's "skip if unavailable" rule. FY25 uses a nearby (mid-June 2025) confirmed price point, flagged [EST]. No independently reliable multi-year EBITDA series was found; operating margin is shown as the closest reliably-sourced proxy for the profitability trend.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gross margin and operating margin rows are the clearest confirmation of the Section 4 Penman finding: FY24 (24.68% GM, -26.59% op margin) through FY26 (44.24% blended GM, climbing to 50.4% non-GAAP by Q4 exit) is a genuine, multi-year operating inflection, not a single good quarter.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Debt/Equity and net-cash rows tell the deleveraging story in hard numbers: from 2.67x D/E and a $2.1B net debt position at the FY24 trough to 0.36x D/E and a positive net cash position by FY26 — a genuine balance-sheet improvement, though achieved via dilution rather than cash paydown.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EV/Revenue jump from ~4.8x (FY25, EST) to ~27.2x (TTM) is the same valuation-stretch tension Section 6's Mauboussin PIE discussion already quantified — the multiple has expanded roughly 5–6x in twelve months, far faster than even this report's Bull-case revenue growth path.</w:t>
      </w:r>
    </w:p>
    <w:p>
      <w:pPr>
        <w:pStyle w:val="Heading1"/>
        <w:spacing w:after="150" w:before="300"/>
      </w:pPr>
      <w:r>
        <w:t xml:space="preserve">12. Final Verdict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1600"/>
        <w:gridCol w:w="1600"/>
        <w:gridCol w:w="800"/>
        <w:gridCol w:w="1000"/>
        <w:gridCol w:w="900"/>
        <w:gridCol w:w="14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Ticker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F-Score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DCF Bear-Base-Bull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MoS Gate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Compounder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AI Impact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Horizon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B-SM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FastGrower (+Cyclical)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(not in /scan universe)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$41 / $103 / $224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ONLY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TAILWIND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short/medium-term only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Thesis Invalidation: revenue growth decelerating meaningfully below the ~130%+ run-rate implied by Q1 FY27 guidance without a credible reacceleration catalyst (1.6T ramp stalling, hyperscaler AI-capex pause/digestion, share loss to Coherent/Fabrinet-backed or Chinese competitors), or non-GAAP gross margin reversing back toward the sub-40% levels seen as recently as Q1 FY26.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Summary: Lumentum's operating business is a genuine, well-evidenced AI-infrastructure growth story — four straight quarters of margin expansion, a dominant 50–60% share in the specific laser-chip technology that 800G/1.6T optical transceivers need, and accelerating guidance. That is the real, positive half of this report. But what has to be true for $929.53/share to be justified is a scale of sustained hypergrowth and terminal profitability that this workup could not construct even in a deliberately aggressive, NVIDIA-margin "Super-Bull" stress test ($398–574/share, still 38–57% below the current price) — the price appears to be a momentum/multiple-expansion trade rather than one a reinvestment-based DCF can underwrite at any reasonable assumption set tried here. Combined with real, uncorrected dilution (+27% share count in one year) and a Quality Compounder screen that doesn't clear even the QUALITY bar on available data, the single biggest event that would most change this verdict is a hard, multi-quarter confirmation that the AI-datacenter optics upcycle is decelerating toward this report's Base case rather than continuing to accelerate past its Bull case — which is exactly the bar the current price already assumes has been cleared.</w:t>
      </w:r>
    </w:p>
    <w:p>
      <w:pPr>
        <w:pBdr>
          <w:top w:val="single" w:color="999999" w:sz="6"/>
        </w:pBdr>
        <w:spacing w:before="30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Sourcing: company press releases/8-Ks via SEC EDGAR and investor.lumentum.com (quarterly results, guidance), stockanalysis.com (5-year financial/balance-sheet series), Investing.com/Simply Wall St (beta), various aggregators (analyst consensus/price targets, insider transaction filings), industry TAM estimates (third-party). Today's macro report (this session) for the 10Y UST risk-free rate input. All figures dated as cited; estimation flags ([EST], "Unavailable") preserved rather than silently resolved.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2026-09-22T16:13:26.943Z</dcterms:created>
  <dcterms:modified xsi:type="dcterms:W3CDTF">2026-09-22T16:13:26.946Z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