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LLOY.L — Lloyds Banking Group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Long-Term Deep-Dive | 2026-09-22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Price: 110.80 GBX pence | Shares out: ~57.99B (28 Aug 2026) | Market cap: ~£64.3B | TNAV/share: 57.0p (30 Jun 2026, flat YTD)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Note: figures in GBX pence unless stated. This account holds a separate short-term LLOY.L trading position (entry ~137p, tracked by risk-manager.md/trade_logger.py) — a distinct short-term track, independent of this long-term conviction analysis.</w:t>
      </w:r>
    </w:p>
    <w:p>
      <w:pPr>
        <w:pStyle w:val="Heading1"/>
        <w:spacing w:after="120" w:before="240"/>
      </w:pPr>
      <w:r>
        <w:t xml:space="preserve">0. Recent Context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H1 2026 (six months to 30 June 2026, reported 30 July 2026):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Statutory profit before tax £4.3bn, +23% YoY.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Total income £10.6bn, +13% YoY; net interest income £7.1bn, +10% YoY.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Banking net interest margin (NIM): 3.19%.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Pro forma CET1 ratio: 13.1%.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Return on tangible equity (ROTE): 17.1% for H1 2026.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Capital generation: 108bps in H1.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Underlying impairment charge £617m H1 (Q1 2026 alone: £295m) -&gt; asset quality ratio 25bps, consistent recent quarters.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Interim ordinary dividend 1.58p, +30% YoY; new £1.0bn share buyback programme announced.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Motor finance commission redress — the single most material overhang: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provision held: £1.95bn (£1.15bn original + £800m top-up added October 2025). The FCA finalised redress-scheme rules around April 2026 (industry-wide impact estimated up to £11bn incl. costs, covering agreements 6 April 2007–1 November 2024). Lloyds currently believes no change to its £1.95bn provision is required, while acknowledging uncertainty remains around response rates, operational costs, and potential litigation.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Recent news (trailing ~60-90 days):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15 Sept 2026: JPMorgan raised PT to 123p ("neutral"); Jefferies raised PT to 127p ("buy") — a genuine split among large houses.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Consensus "Moderate Buy" — 6 Buy / 3 Hold / 1 Sell, average target ~114.20-121.26p (~9% upside), range 53p-140p.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Insider flag: CFO William Chalmers sold ~£10m (87% of personal holding) in Aug 2026 at ~112p — largest insider disposal in 12 months. COO sold 978,309 shares in June 2026 (~105.25-105.5p). No offsetting purchases found. Insider ownership just 0.06%.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17 Sept 2026: BoE MPC voted 6-3 to hold Bank Rate at 3.75%, 3 members preferring a hike to 4.00% — a hawkish-leaning hold.</w:t>
      </w:r>
    </w:p>
    <w:p>
      <w:pPr>
        <w:pStyle w:val="Heading1"/>
        <w:spacing w:after="120" w:before="240"/>
      </w:pPr>
      <w:r>
        <w:t xml:space="preserve">1. Business Overview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Segments (FY2025 underlying profit):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300"/>
        <w:gridCol w:w="156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3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FY2025 underlying profit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Retail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Current accounts, savings, mortgages, cards, unsecured loans, motor finance, leasing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£3,356m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~55%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Commercial Banking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Lending, transactional banking, working capital, debt financing, risk mgmt for SMEs/corporates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£2,546m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~41%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Insurance, Pensions &amp; Investments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Life &amp; general insurance, workplace pensions, wealth mgmt (Scottish Widows, Schroders Personal Wealth)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£330m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~5%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Principal markets: entirely UK-domestic — no material international operations, a genuine concentration point. Brands: Lloyds Bank, Halifax, Bank of Scotland, Scottish Widows, Black Horse, MBNA. ~26 million UK customers.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Market position (sourced): UK's #1 mortgage lender (~19.4% share, gross lending +28% to £47bn in 2024, &gt;£300bn book outstanding), and #1 by share in current accounts, cards, loans, and motor finance — the deepest domestic deposit base of any FTSE 100 lender.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TAM: not meaningfully a single addressable-market figure for a mature, already-dominant domestic bank — better read via market-share ceiling (~19-20% already) than a growth-runway TAM.</w:t>
      </w:r>
    </w:p>
    <w:p>
      <w:pPr>
        <w:pStyle w:val="Heading1"/>
        <w:spacing w:after="120" w:before="240"/>
      </w:pPr>
      <w:r>
        <w:t xml:space="preserve">2. Routing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Track A – BK (Banks). Straightforward — a mature, domestically-focused deposit-funded retail/commercial bank. The Banks Sector Appendix (P/TBV vs ROTE) applies directly.</w:t>
      </w:r>
    </w:p>
    <w:p>
      <w:pPr>
        <w:pStyle w:val="Heading1"/>
        <w:spacing w:after="120" w:before="240"/>
      </w:pPr>
      <w:r>
        <w:t xml:space="preserve">3. Categorization (Lynch)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Stalwart. Total income and dividend have grown steadily (interim dividend +30% YoY H1 2026), but the PBT series shows real volatility (~£6.9bn FY22 -&gt; ~£7.5bn FY23[implied] -&gt; £4.688bn FY24 -&gt; £5.472bn FY25) driven by identifiable one-off/regulatory items (FY2024 motor-finance provision, an IFRS17 restatement across FY22/23) rather than a structurally cyclical revenue base. Secondary characteristic: NIM is genuinely rate-cycle-sensitive — a quasi-cyclical overlay on an otherwise Stalwart profile.</w:t>
      </w:r>
    </w:p>
    <w:p>
      <w:pPr>
        <w:pStyle w:val="Heading1"/>
        <w:spacing w:after="120" w:before="240"/>
      </w:pPr>
      <w:r>
        <w:t xml:space="preserve">4. Earnings Quality (Penman)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£1.95bn motor-finance provision is transitory, not core operating earnings power. Stripping it: FY2025 ROTE was 14.8% ex-item vs. 12.9% as-reported — a genuinely large (190bp) gap.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RNOA vs. leverage-driven ROE: banks are inherently highly levered by business model, so generic ROE is largely uninformative alone — ROTE against P/TBV (Section 5) is the correct substitute per the Banks Sector Appendix.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NIM 3.19% (H1 2026) clears both the US &gt;3.0% and EU &gt;1.8% "strong" thresholds; a multi-year NIM trend line was not fully reconstructed this pass — flagged, not estimated.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Dilution: negative (positive for per-share value) — £1.7bn FY2025 buyback (~4% of register, avg 77.13p) plus a new £1.0bn programme launched H1 2026.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Accrual ratio: not independently computed (total-assets denominator not sourced this pass) — flagged unavailable.</w:t>
      </w:r>
    </w:p>
    <w:p>
      <w:pPr>
        <w:pStyle w:val="Heading1"/>
        <w:spacing w:after="120" w:before="240"/>
      </w:pPr>
      <w:r>
        <w:t xml:space="preserve">5. Valuation — DCF (Koller), adapted for a bank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Methodological note: a standard FCFF/WACC DCF does not map cleanly onto a bank. Consistent with real-world bank-valuation practice and this framework's own instruction that Koller DCF is a secondary cross-check for banks (P/TBV vs ROTE is primary), this DCF is built as an excess-return / justified-P/TBV model: Justified P/TBV = (ROTE - g) / (Cost of Equity - g), applied to TNAV/share (57.0p). The discount rate is cost of equity alone, not blended WACC — the standard treatment for a financial institution.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Source/basis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Risk-free rate (UK 10Y Gilt)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5.295%</w:t>
            </w:r>
          </w:p>
        </w:tc>
        <w:tc>
          <w:tcPr>
            <w:tcW w:type="dxa" w:w="3560"/>
          </w:tcPr>
          <w:p>
            <w:r>
              <w:rPr>
                <w:sz w:val="18"/>
                <w:szCs w:val="18"/>
              </w:rPr>
              <w:t xml:space="preserve">Reached 10 Sept 2026, highest since Aug 2007 — near-cyclical-high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Equity risk premium (UK)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5.0%</w:t>
            </w:r>
          </w:p>
        </w:tc>
        <w:tc>
          <w:tcPr>
            <w:tcW w:type="dxa" w:w="3560"/>
          </w:tcPr>
          <w:p>
            <w:r>
              <w:rPr>
                <w:sz w:val="18"/>
                <w:szCs w:val="18"/>
              </w:rPr>
              <w:t xml:space="preserve">Agent's own EU/UK calibration guidance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Beta (5yr monthly)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0.91-0.98 (mid 0.95)</w:t>
            </w:r>
          </w:p>
        </w:tc>
        <w:tc>
          <w:tcPr>
            <w:tcW w:type="dxa" w:w="3560"/>
          </w:tcPr>
          <w:p>
            <w:r>
              <w:rPr>
                <w:sz w:val="18"/>
                <w:szCs w:val="18"/>
              </w:rPr>
              <w:t xml:space="preserve">Multiple sources broadly agree — genuinely low-beta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Cost of equity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~10.05%</w:t>
            </w:r>
          </w:p>
        </w:tc>
        <w:tc>
          <w:tcPr>
            <w:tcW w:type="dxa" w:w="3560"/>
          </w:tcPr>
          <w:p>
            <w:r>
              <w:rPr>
                <w:sz w:val="18"/>
                <w:szCs w:val="18"/>
              </w:rPr>
              <w:t xml:space="preserve">Rf + beta x ERP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00"/>
        <w:gridCol w:w="1700"/>
        <w:gridCol w:w="156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Sustainable ROTE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Terminal g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Justified P/TBV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Per-share value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>10% (fades toward CoE)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1.5%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0.99x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~57p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>16% (mgmt 2026 guidance)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2.5%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1.79x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~102p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Bull</w:t>
            </w:r>
          </w:p>
        </w:tc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>18.5% (mgmt &gt;18% 2028 target)</w:t>
            </w:r>
          </w:p>
        </w:tc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3.0%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2.20x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~125p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Sensitivity (Benninga discipline): holding ROTE at Base 16%, justified P/TBV ranges 1.50x-2.17x across a CoE 9-11% / g 1-3% grid (~86p-124p) — the Base/Bull range is not highly fragile to small input changes.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MoS Gate: NONE — price (110.80p) sits between Base (~102p) and Bull (~125p), clearing neither Bear nor Base.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Cross-check: this DCF's Bull case (~125p) sits close to the top of the analyst target range (53p-140p) and above the consensus average (~114-121p) — a broadly sane calibration.</w:t>
      </w:r>
    </w:p>
    <w:p>
      <w:pPr>
        <w:pStyle w:val="Heading1"/>
        <w:spacing w:after="120" w:before="240"/>
      </w:pPr>
      <w:r>
        <w:t xml:space="preserve">6. Mauboussin — Price-Implied Expectations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Solving Justified P/TBV = (ROTE - g)/(CoE - g) for the ROTE implied by the current price (110.80p / 57.0p = 1.94x P/TBV), at CoE 10.05% and g 2.5%: Implied sustainable ROTE ~= 17.15% — almost exactly the H1 2026 actual (17.1%). In plain terms: the price already requires H1 2026's strong result to be the new steady-state, not a peak half.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converges with an independent market-commentary source (ts2.tech, dated close to today) that separately calculated an implied ROTE of ~18.3% at 109p — two independently-derived readings landing in the same 17-18% zone is a genuine corroboration.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sits above management's own 2026 guidance (16%) but below its 2028 target (&gt;18%) — the market has moved partway toward pricing the 2028 ambition into today's price.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Moat and CAP: switching-cost/customer-inertia based (low UK current-account switching rates, reinforced by cross-sell scale and the deepest UK deposit base of any FTSE 100 lender) — narrow-to-moderate (switching costs rank #2 in the moat hierarchy, below network effects), tempered by real digital-challenger competition (Monzo, Starling, Revolut). CAP set at 7 years.</w:t>
      </w:r>
    </w:p>
    <w:p>
      <w:pPr>
        <w:pStyle w:val="Heading1"/>
        <w:spacing w:after="120" w:before="240"/>
      </w:pPr>
      <w:r>
        <w:t xml:space="preserve">7. Fisher — Qualitative Checklist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#5/#6 margins: NIM 3.19% healthy; total income growing double-digit YoY H1 2026 — positive, though multi-year NIM trend not independently confirmed.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#11 competitive edge: genuinely positive and sourced — #1 UK mortgage lender, #1 current accounts/cards/loans/motor finance, 26M customers.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#13 dilution: positive — net share reduction via sustained buybacks.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#15 management integrity/disclosure: mixed. Proactive, transparent motor-finance handling (provisioned ahead of FCA final rules, flagged the £800m top-up before the scheme was finalised) — against a real yellow flag: the CFO's ~£10m (87% of holding) August 2026 sale near current price levels, zero offsetting buying, insider ownership just 0.06%.</w:t>
      </w:r>
    </w:p>
    <w:p>
      <w:pPr>
        <w:pStyle w:val="Heading1"/>
        <w:spacing w:after="120" w:before="240"/>
      </w:pPr>
      <w:r>
        <w:t xml:space="preserve">8. Ilmanen — Factor Read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Value: ambiguous. P/TBV 1.94x is rich vs. the Sector Appendix's own example (1.0x at 12% ROTE = fair), but 17.1% ROTE partially justifies the premium. Net: absent-to-neutral.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Quality: present — ROTE 17.1% and NPL 1.8% both clear "Strong" bars; CET1 13.1% clears "Acceptable" but not "Strong" (&gt;14%).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Momentum: present, moderate — market cap +40.27% trailing year, far more moderate than this session's tech/semi names.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Low Beta/Defensive: present — beta 0.91-0.98, genuinely below 1.0.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Combined: three of four factors (Quality, Momentum, Low Beta) show a positive-to-neutral read — the most genuine multi-factor overlap of any name analyzed this session.</w:t>
      </w:r>
    </w:p>
    <w:p>
      <w:pPr>
        <w:pStyle w:val="Heading1"/>
        <w:spacing w:after="120" w:before="240"/>
      </w:pPr>
      <w:r>
        <w:t xml:space="preserve">9. Quality Compounder Screen (Framework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47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ROIC(ROTE) 5yr avg &gt;15%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Flag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~13.4% blended 5yr avg, pulled down by FY2024 motor-finance year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ROIC trend stable/improving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12.3% -&gt; 12.9%/14.8%ex -&gt; 17.1%(H1)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Operating margin &gt;15% (PBT/income proxy)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H1 2026: 40.6%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FCF conversion &gt;80%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Unavailable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Not a meaningful bank metric — skipped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CapEx intensity &lt;10%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Unavailable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Not sourced this pass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Self-funded growth (no dilutive issuance)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Net buybacks, not issuance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Mgmt equity ownership &gt;0.5%(professional CEO)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Insider ownership just 0.06%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Buyback discipline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Flag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FY25 buyback avg 77.13p (disciplined) vs new H1'26 programme deployed near a multi-year-high ~110p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M&amp;A discipline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Tentative Pass</w:t>
            </w:r>
          </w:p>
        </w:tc>
        <w:tc>
          <w:tcPr>
            <w:tcW w:type="dxa" w:w="4760"/>
          </w:tcPr>
          <w:p>
            <w:r>
              <w:rPr>
                <w:sz w:val="18"/>
                <w:szCs w:val="18"/>
              </w:rPr>
              <w:t xml:space="preserve">Schroders Personal Wealth bolt-on, Q4 2025 — no impairment issue found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Count (of 7 scored, 2 skipped): 4 pass / 1 fail / 2 flag -&gt; QUALITY tier (4-6 pass).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Compounder verdict: WATCH (structurally QUALITY, but MoS Gate is NONE — price sits between Base and Bull, not yet licensed).</w:t>
      </w:r>
    </w:p>
    <w:p>
      <w:pPr>
        <w:pStyle w:val="Heading1"/>
        <w:spacing w:after="120" w:before="240"/>
      </w:pPr>
      <w:r>
        <w:t xml:space="preserve">10. Sector Appendix — Banks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200"/>
        <w:gridCol w:w="166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LLOY actual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Threshold</w:t>
            </w:r>
          </w:p>
        </w:tc>
        <w:tc>
          <w:tcPr>
            <w:tcW w:type="dxa" w:w="16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NIM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3.19% (H1 2026)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Strong &gt;3.0%(US)/&gt;1.8%(EU)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Clears both comfortably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CET1 ratio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13.1% pro forma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Strong &gt;14%; Acceptable 12-14%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Acceptable, not Strong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Efficiency ratio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&lt;50% strong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Unavailable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ROTE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17.1%(H1) / 12.9%(FY25 as-reported)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Strong &gt;14%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Strong on run-rate; note gap to as-reported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NPL ratio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1.8% (end-Q3 2025)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Strong &lt;2%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Loan-to-deposit ratio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&lt;90% strong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Unavailable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Fee income/total revenue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Partial proxy only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&gt;30% strong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Not a clean read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P/TBV interpretation: 1.94x against 17.1% ROTE sits above the framework's "1.0x at 12% ROTE = fair" reference — partially, not fully, explained by the higher ROTE.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UK-specific: PRA/BoE regulation, not ECB — a precise UK MDA threshold for Lloyds was not sourced this pass, flagged as a gap. BoE held Bank Rate at 3.75% (17 Sept 2026, hawkish 6-3 hold) — a more benign near-term NIM signal than an active cutting cycle.</w:t>
      </w:r>
    </w:p>
    <w:p>
      <w:pPr>
        <w:pStyle w:val="Heading1"/>
        <w:spacing w:after="120" w:before="240"/>
      </w:pPr>
      <w:r>
        <w:t xml:space="preserve">11. Five-Year Ratio Trend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20"/>
        <w:gridCol w:w="1420"/>
        <w:gridCol w:w="1420"/>
        <w:gridCol w:w="1420"/>
        <w:gridCol w:w="148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42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FY2022</w:t>
            </w:r>
          </w:p>
        </w:tc>
        <w:tc>
          <w:tcPr>
            <w:tcW w:type="dxa" w:w="142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FY2023</w:t>
            </w:r>
          </w:p>
        </w:tc>
        <w:tc>
          <w:tcPr>
            <w:tcW w:type="dxa" w:w="142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FY2024</w:t>
            </w:r>
          </w:p>
        </w:tc>
        <w:tc>
          <w:tcPr>
            <w:tcW w:type="dxa" w:w="142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FY2025</w:t>
            </w:r>
          </w:p>
        </w:tc>
        <w:tc>
          <w:tcPr>
            <w:tcW w:type="dxa" w:w="148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H1 2026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Statutory PBT (£bn)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6.9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~7.5[derived]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4.688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5.472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PBT growth YoY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~+9%[derived]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-37.5%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+16.7%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>+23%(H1 vs H1)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ROTE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15.8%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12.3%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12.9%(14.8%ex-item)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>17.1%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TNAV/share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50.8p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52.4p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57.0p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>57.0p(flat YTD)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CET1 ratio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1420"/>
          </w:tcPr>
          <w:p>
            <w:r>
              <w:rPr>
                <w:sz w:val="18"/>
                <w:szCs w:val="18"/>
              </w:rPr>
              <w:t xml:space="preserve">Not sourced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>13.1%(pro forma)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genuine data-density gap vs. this session's better-covered US names — several rows were not independently reconstructed to this report's sourcing standard this pass and are left blank, per the agent's own rule. FY2022/2023 figures are also complicated by an IFRS17 restatement that changes comparability across that boundary.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Recent trend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NIM</w:t>
            </w:r>
          </w:p>
        </w:tc>
        <w:tc>
          <w:tcPr>
            <w:tcW w:type="dxa" w:w="6160"/>
          </w:tcPr>
          <w:p>
            <w:r>
              <w:rPr>
                <w:sz w:val="18"/>
                <w:szCs w:val="18"/>
              </w:rPr>
              <w:t xml:space="preserve">3.19% (H1 2026) — single-period figure only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ROTE</w:t>
            </w:r>
          </w:p>
        </w:tc>
        <w:tc>
          <w:tcPr>
            <w:tcW w:type="dxa" w:w="6160"/>
          </w:tcPr>
          <w:p>
            <w:r>
              <w:rPr>
                <w:sz w:val="18"/>
                <w:szCs w:val="18"/>
              </w:rPr>
              <w:t xml:space="preserve">15.8%(FY23) -&gt; 12.3%(FY24) -&gt; 12.9%/14.8%ex(FY25) -&gt; 17.1%(H1'26)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CET1</w:t>
            </w:r>
          </w:p>
        </w:tc>
        <w:tc>
          <w:tcPr>
            <w:tcW w:type="dxa" w:w="6160"/>
          </w:tcPr>
          <w:p>
            <w:r>
              <w:rPr>
                <w:sz w:val="18"/>
                <w:szCs w:val="18"/>
              </w:rPr>
              <w:t xml:space="preserve">13.1% pro forma (H1'26) — single-period only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NPL / Stage 2 ratio</w:t>
            </w:r>
          </w:p>
        </w:tc>
        <w:tc>
          <w:tcPr>
            <w:tcW w:type="dxa" w:w="6160"/>
          </w:tcPr>
          <w:p>
            <w:r>
              <w:rPr>
                <w:sz w:val="18"/>
                <w:szCs w:val="18"/>
              </w:rPr>
              <w:t xml:space="preserve">NPL 1.8%(Q3'25); Stage 2 9.3% of gross loans, improved from 10.4%(end-2024)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Asset quality ratio</w:t>
            </w:r>
          </w:p>
        </w:tc>
        <w:tc>
          <w:tcPr>
            <w:tcW w:type="dxa" w:w="6160"/>
          </w:tcPr>
          <w:p>
            <w:r>
              <w:rPr>
                <w:sz w:val="18"/>
                <w:szCs w:val="18"/>
              </w:rPr>
              <w:t xml:space="preserve">25bps, consistent Q1'26 and H1'26 — stable, benign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Interpretation: the ROTE row is the central story, tying directly to Sections 4 and 6 — the FY2024 dip is the motor-finance charge showing up exactly where Penman predicts, and the H1 2026 rebound to 17.1% is precisely the figure now priced in per the PIE calculation. NIM's single-period nature is a real limitation — no trend line through the BoE hiking cycle was reconstructed. The Stage 2 loans improvement (10.4%-&gt;9.3%) alongside a stable 25bp asset quality ratio is a quietly positive, underappreciated data point.</w:t>
      </w:r>
    </w:p>
    <w:p>
      <w:pPr>
        <w:pStyle w:val="Heading1"/>
        <w:spacing w:after="120" w:before="240"/>
      </w:pPr>
      <w:r>
        <w:t xml:space="preserve">12. Final Verdict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LLOY.L | A-BK | Stalwart | DCF Bear-Base-Bull: 57p / 102p / 125p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(justified P/TBV method, cost-of-equity discounted — see Section 5)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MoS Gate: NONE (price 110.80p sits between Base and Bull)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Compounder: WATCH (structural QUALITY, 4/7 scored criteria, capped by price)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AI Impact: NEUTRAL-to-mild-TAILWIND (cost-efficiency/fraud-detection plausible;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no material Lloyds-specific AI revenue/capex disclosure found this pass)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Horizon: 3-5yr (QUALITY tier) if price fell back toward the Base-case band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Thesis Invalidation: ROTE fails to hold near 16% 2026 guidance for 2+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consecutive periods, OR the motor-finance provision requires a material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top-up beyond GBP1.95bn, OR CET1 drops meaningfully below 13.1% pro forma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without a clear capital-return offset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Summary: Lloyds is a genuinely Stalwart, low-beta, dominant-domestic-franchise bank generating a real, improving ROTE (17.1% H1 2026) with disciplined per-share capital return via sustained buybacks. What has to be true for today's 110.80p: the market has already priced in roughly the current strong half-year's ROTE persisting indefinitely (implied ~17.15%, corroborated independently by a separate market commentary's ~18.3% estimate) — sitting between management's own 2026 guidance (16%) and 2028 ambition (&gt;18%), a genuinely less demanding ask than this session's tech/semiconductor names, but still not a price that's cheap relative to Lloyds' own guided numbers. The single biggest event that would most change this verdict either way: whether the motor-finance redress matter is now genuinely closed at £1.95bn, or whether the CFO's large August 2026 share sale proves to be ordinary portfolio rebalancing or an earlier read of some risk not yet visible in the disclosed numbers.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2026-09-22T17:27:53.399Z</dcterms:created>
  <dcterms:modified xsi:type="dcterms:W3CDTF">2026-09-22T17:27:53.402Z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