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MACRO REGIME REPORT — Long-Term Conviction Report, Macro Mode</w:t>
      </w:r>
    </w:p>
    <w:p>
      <w:pPr>
        <w:spacing w:after="160"/>
      </w:pPr>
      <w:r>
        <w:rPr>
          <w:b/>
          <w:bCs/>
          <w:sz w:val="21"/>
          <w:szCs w:val="21"/>
        </w:rPr>
        <w:t xml:space="preserve">Date: 2026-09-24 | No single ticker. Standalone regime, rate and sector context, produced alongside the GM Deep-Dive of the same date.</w:t>
      </w:r>
    </w:p>
    <w:p>
      <w:pPr>
        <w:spacing w:after="160"/>
      </w:pPr>
      <w:r>
        <w:rPr>
          <w:i/>
          <w:iCs/>
          <w:sz w:val="20"/>
          <w:szCs w:val="20"/>
        </w:rPr>
        <w:t xml:space="preserve">Inputs refreshed today. sentiment_data.json 2026-09-24 14:21 UTC; macro_regime.json 2026-09-24 14:21 UTC; sector_rotation.json 2026-09-24 14:21 UTC (the scheduled run had failed on a Windows console-encoding error and was rerun with UTF-8 output). Comparisons are against the previous Macro Mode report (MACRO_2026-09-15) and yesterday's pipeline snapshot (2026-09-23). macro_fred.json: NO_API_KEY, so there are no FRED series this pass.</w:t>
      </w:r>
    </w:p>
    <w:p>
      <w:pPr>
        <w:spacing w:after="160"/>
      </w:pPr>
      <w:r>
        <w:rPr>
          <w:b/>
          <w:bCs/>
          <w:sz w:val="21"/>
          <w:szCs w:val="21"/>
        </w:rPr>
        <w:t xml:space="preserve">REGIME VERDICT: REFLATION, confidence MEDIUM | Growth MIXED | Inflation RISING | 10Y 5.09–5.11% | Composite 50.9 Neutral (−4.8) | CNN F&amp;G 35.5 Fear | Dalio cycle downgraded to "Late cycle: high rates constraining credit, watch for credit event" | Minsky 2/5 (up from 0/5 on Sept 15).</w:t>
      </w:r>
    </w:p>
    <w:p>
      <w:pPr>
        <w:spacing w:after="160"/>
      </w:pPr>
      <w:r>
        <w:rPr>
          <w:b/>
          <w:bCs/>
          <w:sz w:val="21"/>
          <w:szCs w:val="21"/>
        </w:rPr>
        <w:t xml:space="preserve">Three tensions to flag:</w:t>
      </w:r>
      <w:r>
        <w:rPr>
          <w:sz w:val="21"/>
          <w:szCs w:val="21"/>
        </w:rPr>
        <w:t xml:space="preserve"> 1. The rate shock is now the dominant macro variable: +60bp on the 10Y in 3 months, +13bp since the Sept 15 report. 2. The classifier's favoured sectors are </w:t>
      </w:r>
      <w:r>
        <w:rPr>
          <w:b/>
          <w:bCs/>
          <w:sz w:val="21"/>
          <w:szCs w:val="21"/>
        </w:rPr>
        <w:t xml:space="preserve">contradicted by the tape</w:t>
      </w:r>
      <w:r>
        <w:rPr>
          <w:sz w:val="21"/>
          <w:szCs w:val="21"/>
        </w:rPr>
        <w:t xml:space="preserve">: Energy is #8 of 11 in the US and Financials #10. 3. Both safe havens (TLT and GLD) are falling while F&amp;G sits in Fear. The pipeline reads this as risk-on rotation. The better reading is </w:t>
      </w:r>
      <w:r>
        <w:rPr>
          <w:b/>
          <w:bCs/>
          <w:sz w:val="21"/>
          <w:szCs w:val="21"/>
        </w:rPr>
        <w:t xml:space="preserve">rates up and the dollar up</w:t>
      </w:r>
      <w:r>
        <w:rPr>
          <w:sz w:val="21"/>
          <w:szCs w:val="21"/>
        </w:rPr>
        <w:t xml:space="preserve">, not a flight into equities.</w:t>
      </w:r>
    </w:p>
    <w:p>
      <w:pPr>
        <w:pStyle w:val="Heading2"/>
        <w:spacing w:after="120" w:before="240"/>
      </w:pPr>
      <w:r>
        <w:t xml:space="preserve">1. Regime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D9D9" w:val="clear"/>
            <w:tcMar>
              <w:top w:type="dxa" w:w="60"/>
              <w:left w:type="dxa" w:w="80"/>
              <w:bottom w:type="dxa" w:w="60"/>
              <w:right w:type="dxa" w:w="80"/>
            </w:tcMar>
          </w:tcPr>
          <w:p>
            <w:r>
              <w:rPr>
                <w:b/>
                <w:bCs/>
                <w:sz w:val="19"/>
                <w:szCs w:val="19"/>
              </w:rPr>
            </w:r>
          </w:p>
        </w:tc>
        <w:tc>
          <w:tcPr>
            <w:tcW w:type="dxa" w:w="2340"/>
            <w:shd w:fill="D9D9D9" w:val="clear"/>
            <w:tcMar>
              <w:top w:type="dxa" w:w="60"/>
              <w:left w:type="dxa" w:w="80"/>
              <w:bottom w:type="dxa" w:w="60"/>
              <w:right w:type="dxa" w:w="80"/>
            </w:tcMar>
          </w:tcPr>
          <w:p>
            <w:r>
              <w:rPr>
                <w:b/>
                <w:bCs/>
                <w:sz w:val="19"/>
                <w:szCs w:val="19"/>
              </w:rPr>
            </w:r>
          </w:p>
        </w:tc>
        <w:tc>
          <w:tcPr>
            <w:tcW w:type="dxa" w:w="2340"/>
            <w:shd w:fill="D9D9D9" w:val="clear"/>
            <w:tcMar>
              <w:top w:type="dxa" w:w="60"/>
              <w:left w:type="dxa" w:w="80"/>
              <w:bottom w:type="dxa" w:w="60"/>
              <w:right w:type="dxa" w:w="80"/>
            </w:tcMar>
          </w:tcPr>
          <w:p>
            <w:r>
              <w:rPr>
                <w:b/>
                <w:bCs/>
                <w:sz w:val="19"/>
                <w:szCs w:val="19"/>
              </w:rPr>
            </w:r>
          </w:p>
        </w:tc>
        <w:tc>
          <w:tcPr>
            <w:tcW w:type="dxa" w:w="2340"/>
            <w:shd w:fill="D9D9D9" w:val="clear"/>
            <w:tcMar>
              <w:top w:type="dxa" w:w="60"/>
              <w:left w:type="dxa" w:w="80"/>
              <w:bottom w:type="dxa" w:w="60"/>
              <w:right w:type="dxa" w:w="80"/>
            </w:tcMar>
          </w:tcPr>
          <w:p>
            <w:r>
              <w:rPr>
                <w:b/>
                <w:bCs/>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r>
              <w:rPr>
                <w:sz w:val="19"/>
                <w:szCs w:val="19"/>
              </w:rPr>
            </w:r>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r>
              <w:rPr>
                <w:sz w:val="19"/>
                <w:szCs w:val="19"/>
              </w:rPr>
            </w:r>
          </w:p>
        </w:tc>
      </w:tr>
    </w:tbl>
    <w:p>
      <w:pPr>
        <w:spacing w:after="160"/>
      </w:pPr>
    </w:p>
    <w:p>
      <w:pPr>
        <w:spacing w:after="160"/>
      </w:pPr>
      <w:r>
        <w:rPr>
          <w:b/>
          <w:bCs/>
          <w:sz w:val="21"/>
          <w:szCs w:val="21"/>
        </w:rPr>
        <w:t xml:space="preserve">Yield curve</w:t>
      </w:r>
      <w:r>
        <w:rPr>
          <w:sz w:val="21"/>
          <w:szCs w:val="21"/>
        </w:rPr>
        <w:t xml:space="preserve"> (macro_regime.json, 2026-09-24):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9D9D9" w:val="clear"/>
            <w:tcMar>
              <w:top w:type="dxa" w:w="60"/>
              <w:left w:type="dxa" w:w="80"/>
              <w:bottom w:type="dxa" w:w="60"/>
              <w:right w:type="dxa" w:w="80"/>
            </w:tcMar>
          </w:tcPr>
          <w:p>
            <w:r>
              <w:rPr>
                <w:b/>
                <w:bCs/>
                <w:sz w:val="19"/>
                <w:szCs w:val="19"/>
              </w:rPr>
            </w:r>
          </w:p>
        </w:tc>
        <w:tc>
          <w:tcPr>
            <w:tcW w:type="dxa" w:w="1872"/>
            <w:shd w:fill="D9D9D9" w:val="clear"/>
            <w:tcMar>
              <w:top w:type="dxa" w:w="60"/>
              <w:left w:type="dxa" w:w="80"/>
              <w:bottom w:type="dxa" w:w="60"/>
              <w:right w:type="dxa" w:w="80"/>
            </w:tcMar>
          </w:tcPr>
          <w:p>
            <w:r>
              <w:rPr>
                <w:b/>
                <w:bCs/>
                <w:sz w:val="19"/>
                <w:szCs w:val="19"/>
              </w:rPr>
            </w:r>
          </w:p>
        </w:tc>
        <w:tc>
          <w:tcPr>
            <w:tcW w:type="dxa" w:w="1872"/>
            <w:shd w:fill="D9D9D9" w:val="clear"/>
            <w:tcMar>
              <w:top w:type="dxa" w:w="60"/>
              <w:left w:type="dxa" w:w="80"/>
              <w:bottom w:type="dxa" w:w="60"/>
              <w:right w:type="dxa" w:w="80"/>
            </w:tcMar>
          </w:tcPr>
          <w:p>
            <w:r>
              <w:rPr>
                <w:b/>
                <w:bCs/>
                <w:sz w:val="19"/>
                <w:szCs w:val="19"/>
              </w:rPr>
            </w:r>
          </w:p>
        </w:tc>
        <w:tc>
          <w:tcPr>
            <w:tcW w:type="dxa" w:w="1872"/>
            <w:shd w:fill="D9D9D9" w:val="clear"/>
            <w:tcMar>
              <w:top w:type="dxa" w:w="60"/>
              <w:left w:type="dxa" w:w="80"/>
              <w:bottom w:type="dxa" w:w="60"/>
              <w:right w:type="dxa" w:w="80"/>
            </w:tcMar>
          </w:tcPr>
          <w:p>
            <w:r>
              <w:rPr>
                <w:b/>
                <w:bCs/>
                <w:sz w:val="19"/>
                <w:szCs w:val="19"/>
              </w:rPr>
            </w:r>
          </w:p>
        </w:tc>
        <w:tc>
          <w:tcPr>
            <w:tcW w:type="dxa" w:w="1872"/>
            <w:shd w:fill="D9D9D9" w:val="clear"/>
            <w:tcMar>
              <w:top w:type="dxa" w:w="60"/>
              <w:left w:type="dxa" w:w="80"/>
              <w:bottom w:type="dxa" w:w="60"/>
              <w:right w:type="dxa" w:w="80"/>
            </w:tcMar>
          </w:tcPr>
          <w:p>
            <w:r>
              <w:rPr>
                <w:b/>
                <w:bCs/>
                <w:sz w:val="19"/>
                <w:szCs w:val="19"/>
              </w:rPr>
            </w:r>
          </w:p>
        </w:tc>
      </w:tr>
      <w:tr>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r>
      <w:tr>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r>
      <w:tr>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r>
      <w:tr>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r>
    </w:tbl>
    <w:p>
      <w:pPr>
        <w:spacing w:after="160"/>
      </w:pPr>
    </w:p>
    <w:p>
      <w:pPr>
        <w:spacing w:after="160"/>
      </w:pPr>
      <w:r>
        <w:rPr>
          <w:sz w:val="21"/>
          <w:szCs w:val="21"/>
        </w:rPr>
        <w:t xml:space="preserve">Absolute yield levels matter more than the regime label. "REFLATION, MEDIUM" at a </w:t>
      </w:r>
      <w:r>
        <w:rPr>
          <w:b/>
          <w:bCs/>
          <w:sz w:val="21"/>
          <w:szCs w:val="21"/>
        </w:rPr>
        <w:t xml:space="preserve">5.1% 10Y</w:t>
      </w:r>
      <w:r>
        <w:rPr>
          <w:sz w:val="21"/>
          <w:szCs w:val="21"/>
        </w:rPr>
        <w:t xml:space="preserve"> is a much tighter financial backdrop than the same label at ~4.5% three months ago. The 5Y rising faster than the 10Y (+74bp vs +62bp over 3 months) means the market is repricing </w:t>
      </w:r>
      <w:r>
        <w:rPr>
          <w:b/>
          <w:bCs/>
          <w:sz w:val="21"/>
          <w:szCs w:val="21"/>
        </w:rPr>
        <w:t xml:space="preserve">the Fed path</w:t>
      </w:r>
      <w:r>
        <w:rPr>
          <w:sz w:val="21"/>
          <w:szCs w:val="21"/>
        </w:rPr>
        <w:t xml:space="preserve"> (fewer or no cuts, maybe hikes), not just term premium. Supporting this: </w:t>
      </w:r>
      <w:r>
        <w:rPr>
          <w:b/>
          <w:bCs/>
          <w:sz w:val="21"/>
          <w:szCs w:val="21"/>
        </w:rPr>
        <w:t xml:space="preserve">USO +40.0% (3m) and +10.5% (1m)</w:t>
      </w:r>
      <w:r>
        <w:rPr>
          <w:sz w:val="21"/>
          <w:szCs w:val="21"/>
        </w:rPr>
        <w:t xml:space="preserve"> and PDBC +18.8% (3m). An oil and commodity impulse is the obvious source of the "inflation RISING" read. Sentiment's own rates block: 10Y </w:t>
      </w:r>
      <w:r>
        <w:rPr>
          <w:b/>
          <w:bCs/>
          <w:sz w:val="21"/>
          <w:szCs w:val="21"/>
        </w:rPr>
        <w:t xml:space="preserve">5.091%</w:t>
      </w:r>
      <w:r>
        <w:rPr>
          <w:sz w:val="21"/>
          <w:szCs w:val="21"/>
        </w:rPr>
        <w:t xml:space="preserve">, +8.5bp (5d) and +45.2bp (20d), trend rising, "significant headwind for growth/high-multiple stocks".</w:t>
      </w:r>
    </w:p>
    <w:p>
      <w:pPr>
        <w:pStyle w:val="Heading2"/>
        <w:spacing w:after="120" w:before="240"/>
      </w:pPr>
      <w:r>
        <w:t xml:space="preserve">2. Sentiment &amp; Volatility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D9D9" w:val="clear"/>
            <w:tcMar>
              <w:top w:type="dxa" w:w="60"/>
              <w:left w:type="dxa" w:w="80"/>
              <w:bottom w:type="dxa" w:w="60"/>
              <w:right w:type="dxa" w:w="80"/>
            </w:tcMar>
          </w:tcPr>
          <w:p>
            <w:r>
              <w:rPr>
                <w:b/>
                <w:bCs/>
                <w:sz w:val="19"/>
                <w:szCs w:val="19"/>
              </w:rPr>
            </w:r>
          </w:p>
        </w:tc>
        <w:tc>
          <w:tcPr>
            <w:tcW w:type="dxa" w:w="2340"/>
            <w:shd w:fill="D9D9D9" w:val="clear"/>
            <w:tcMar>
              <w:top w:type="dxa" w:w="60"/>
              <w:left w:type="dxa" w:w="80"/>
              <w:bottom w:type="dxa" w:w="60"/>
              <w:right w:type="dxa" w:w="80"/>
            </w:tcMar>
          </w:tcPr>
          <w:p>
            <w:r>
              <w:rPr>
                <w:b/>
                <w:bCs/>
                <w:sz w:val="19"/>
                <w:szCs w:val="19"/>
              </w:rPr>
            </w:r>
          </w:p>
        </w:tc>
        <w:tc>
          <w:tcPr>
            <w:tcW w:type="dxa" w:w="2340"/>
            <w:shd w:fill="D9D9D9" w:val="clear"/>
            <w:tcMar>
              <w:top w:type="dxa" w:w="60"/>
              <w:left w:type="dxa" w:w="80"/>
              <w:bottom w:type="dxa" w:w="60"/>
              <w:right w:type="dxa" w:w="80"/>
            </w:tcMar>
          </w:tcPr>
          <w:p>
            <w:r>
              <w:rPr>
                <w:b/>
                <w:bCs/>
                <w:sz w:val="19"/>
                <w:szCs w:val="19"/>
              </w:rPr>
            </w:r>
          </w:p>
        </w:tc>
        <w:tc>
          <w:tcPr>
            <w:tcW w:type="dxa" w:w="2340"/>
            <w:shd w:fill="D9D9D9" w:val="clear"/>
            <w:tcMar>
              <w:top w:type="dxa" w:w="60"/>
              <w:left w:type="dxa" w:w="80"/>
              <w:bottom w:type="dxa" w:w="60"/>
              <w:right w:type="dxa" w:w="80"/>
            </w:tcMar>
          </w:tcPr>
          <w:p>
            <w:r>
              <w:rPr>
                <w:b/>
                <w:bCs/>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bl>
    <w:p>
      <w:pPr>
        <w:spacing w:after="160"/>
      </w:pPr>
    </w:p>
    <w:p>
      <w:pPr>
        <w:spacing w:after="160"/>
      </w:pPr>
      <w:r>
        <w:rPr>
          <w:sz w:val="21"/>
          <w:szCs w:val="21"/>
        </w:rPr>
        <w:t xml:space="preserve">Read the two F&amp;G windows together: the </w:t>
      </w:r>
      <w:r>
        <w:rPr>
          <w:b/>
          <w:bCs/>
          <w:sz w:val="21"/>
          <w:szCs w:val="21"/>
        </w:rPr>
        <w:t xml:space="preserve">weekly +7.2 is a bounce off the ~28 low inside a −19.5 monthly decline</w:t>
      </w:r>
      <w:r>
        <w:rPr>
          <w:sz w:val="21"/>
          <w:szCs w:val="21"/>
        </w:rPr>
        <w:t xml:space="preserve">. The pipeline labels this "Fear recovering, early contrarian opportunity". That holds on the weekly window only. On the monthly window sentiment is still far below where it was in late August.</w:t>
      </w:r>
    </w:p>
    <w:p>
      <w:pPr>
        <w:spacing w:after="160"/>
      </w:pPr>
      <w:r>
        <w:rPr>
          <w:b/>
          <w:bCs/>
          <w:sz w:val="21"/>
          <w:szCs w:val="21"/>
        </w:rPr>
        <w:t xml:space="preserve">VIX: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D9D9" w:val="clear"/>
            <w:tcMar>
              <w:top w:type="dxa" w:w="60"/>
              <w:left w:type="dxa" w:w="80"/>
              <w:bottom w:type="dxa" w:w="60"/>
              <w:right w:type="dxa" w:w="80"/>
            </w:tcMar>
          </w:tcPr>
          <w:p>
            <w:r>
              <w:rPr>
                <w:b/>
                <w:bCs/>
                <w:sz w:val="19"/>
                <w:szCs w:val="19"/>
              </w:rPr>
            </w:r>
          </w:p>
        </w:tc>
        <w:tc>
          <w:tcPr>
            <w:tcW w:type="dxa" w:w="3120"/>
            <w:shd w:fill="D9D9D9" w:val="clear"/>
            <w:tcMar>
              <w:top w:type="dxa" w:w="60"/>
              <w:left w:type="dxa" w:w="80"/>
              <w:bottom w:type="dxa" w:w="60"/>
              <w:right w:type="dxa" w:w="80"/>
            </w:tcMar>
          </w:tcPr>
          <w:p>
            <w:r>
              <w:rPr>
                <w:b/>
                <w:bCs/>
                <w:sz w:val="19"/>
                <w:szCs w:val="19"/>
              </w:rPr>
            </w:r>
          </w:p>
        </w:tc>
        <w:tc>
          <w:tcPr>
            <w:tcW w:type="dxa" w:w="3120"/>
            <w:shd w:fill="D9D9D9" w:val="clear"/>
            <w:tcMar>
              <w:top w:type="dxa" w:w="60"/>
              <w:left w:type="dxa" w:w="80"/>
              <w:bottom w:type="dxa" w:w="60"/>
              <w:right w:type="dxa" w:w="80"/>
            </w:tcMar>
          </w:tcPr>
          <w:p>
            <w:r>
              <w:rPr>
                <w:b/>
                <w:bCs/>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r>
              <w:rPr>
                <w:sz w:val="19"/>
                <w:szCs w:val="19"/>
              </w:rPr>
            </w:r>
          </w:p>
        </w:tc>
        <w:tc>
          <w:tcPr>
            <w:tcW w:type="dxa" w:w="3120"/>
            <w:tcMar>
              <w:top w:type="dxa" w:w="60"/>
              <w:left w:type="dxa" w:w="80"/>
              <w:bottom w:type="dxa" w:w="60"/>
              <w:right w:type="dxa" w:w="80"/>
            </w:tcMar>
          </w:tcPr>
          <w:p>
            <w:r>
              <w:rPr>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p>
        </w:tc>
      </w:tr>
      <w:tr>
        <w:tc>
          <w:tcPr>
            <w:tcW w:type="dxa" w:w="3120"/>
            <w:tcMar>
              <w:top w:type="dxa" w:w="60"/>
              <w:left w:type="dxa" w:w="80"/>
              <w:bottom w:type="dxa" w:w="60"/>
              <w:right w:type="dxa" w:w="80"/>
            </w:tcMar>
          </w:tcPr>
          <w:p>
            <w:r>
              <w:rPr>
                <w:sz w:val="19"/>
                <w:szCs w:val="19"/>
              </w:rPr>
            </w:r>
          </w:p>
        </w:tc>
        <w:tc>
          <w:tcPr>
            <w:tcW w:type="dxa" w:w="3120"/>
            <w:tcMar>
              <w:top w:type="dxa" w:w="60"/>
              <w:left w:type="dxa" w:w="80"/>
              <w:bottom w:type="dxa" w:w="60"/>
              <w:right w:type="dxa" w:w="80"/>
            </w:tcMar>
          </w:tcPr>
          <w:p>
            <w:r>
              <w:rPr>
                <w:sz w:val="19"/>
                <w:szCs w:val="19"/>
              </w:rPr>
            </w:r>
            <w:r>
              <w:rPr>
                <w:sz w:val="19"/>
                <w:szCs w:val="19"/>
              </w:rPr>
            </w:r>
          </w:p>
        </w:tc>
        <w:tc>
          <w:tcPr>
            <w:tcW w:type="dxa" w:w="3120"/>
            <w:tcMar>
              <w:top w:type="dxa" w:w="60"/>
              <w:left w:type="dxa" w:w="80"/>
              <w:bottom w:type="dxa" w:w="60"/>
              <w:right w:type="dxa" w:w="80"/>
            </w:tcMar>
          </w:tcPr>
          <w:p>
            <w:r>
              <w:rPr>
                <w:sz w:val="19"/>
                <w:szCs w:val="19"/>
              </w:rPr>
            </w:r>
          </w:p>
        </w:tc>
      </w:tr>
    </w:tbl>
    <w:p>
      <w:pPr>
        <w:spacing w:after="160"/>
      </w:pPr>
    </w:p>
    <w:p>
      <w:pPr>
        <w:spacing w:after="160"/>
      </w:pPr>
      <w:r>
        <w:rPr>
          <w:b/>
          <w:bCs/>
          <w:sz w:val="21"/>
          <w:szCs w:val="21"/>
        </w:rPr>
        <w:t xml:space="preserve">Put/call: 1.417</w:t>
      </w:r>
      <w:r>
        <w:rPr>
          <w:sz w:val="21"/>
          <w:szCs w:val="21"/>
        </w:rPr>
        <w:t xml:space="preserve"> (puts OI 225k vs calls 159k, same-day expiry), labelled "bearish hedging (&gt;1.2)" and up from 0.90 yesterday. With calm spot VIX and a +2.7 VIX3M premium, the picture is </w:t>
      </w:r>
      <w:r>
        <w:rPr>
          <w:b/>
          <w:bCs/>
          <w:sz w:val="21"/>
          <w:szCs w:val="21"/>
        </w:rPr>
        <w:t xml:space="preserve">quiet surface, hedged underneath</w:t>
      </w:r>
      <w:r>
        <w:rPr>
          <w:sz w:val="21"/>
          <w:szCs w:val="21"/>
        </w:rPr>
        <w:t xml:space="preserve">.</w:t>
      </w:r>
    </w:p>
    <w:p>
      <w:pPr>
        <w:spacing w:after="160"/>
      </w:pPr>
      <w:r>
        <w:rPr>
          <w:b/>
          <w:bCs/>
          <w:sz w:val="21"/>
          <w:szCs w:val="21"/>
        </w:rPr>
        <w:t xml:space="preserve">Breadth: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9D9D9" w:val="clear"/>
            <w:tcMar>
              <w:top w:type="dxa" w:w="60"/>
              <w:left w:type="dxa" w:w="80"/>
              <w:bottom w:type="dxa" w:w="60"/>
              <w:right w:type="dxa" w:w="80"/>
            </w:tcMar>
          </w:tcPr>
          <w:p>
            <w:r>
              <w:rPr>
                <w:b/>
                <w:bCs/>
                <w:sz w:val="19"/>
                <w:szCs w:val="19"/>
              </w:rPr>
            </w:r>
          </w:p>
        </w:tc>
        <w:tc>
          <w:tcPr>
            <w:tcW w:type="dxa" w:w="1872"/>
            <w:shd w:fill="D9D9D9" w:val="clear"/>
            <w:tcMar>
              <w:top w:type="dxa" w:w="60"/>
              <w:left w:type="dxa" w:w="80"/>
              <w:bottom w:type="dxa" w:w="60"/>
              <w:right w:type="dxa" w:w="80"/>
            </w:tcMar>
          </w:tcPr>
          <w:p>
            <w:r>
              <w:rPr>
                <w:b/>
                <w:bCs/>
                <w:sz w:val="19"/>
                <w:szCs w:val="19"/>
              </w:rPr>
            </w:r>
          </w:p>
        </w:tc>
        <w:tc>
          <w:tcPr>
            <w:tcW w:type="dxa" w:w="1872"/>
            <w:shd w:fill="D9D9D9" w:val="clear"/>
            <w:tcMar>
              <w:top w:type="dxa" w:w="60"/>
              <w:left w:type="dxa" w:w="80"/>
              <w:bottom w:type="dxa" w:w="60"/>
              <w:right w:type="dxa" w:w="80"/>
            </w:tcMar>
          </w:tcPr>
          <w:p>
            <w:r>
              <w:rPr>
                <w:b/>
                <w:bCs/>
                <w:sz w:val="19"/>
                <w:szCs w:val="19"/>
              </w:rPr>
            </w:r>
          </w:p>
        </w:tc>
        <w:tc>
          <w:tcPr>
            <w:tcW w:type="dxa" w:w="1872"/>
            <w:shd w:fill="D9D9D9" w:val="clear"/>
            <w:tcMar>
              <w:top w:type="dxa" w:w="60"/>
              <w:left w:type="dxa" w:w="80"/>
              <w:bottom w:type="dxa" w:w="60"/>
              <w:right w:type="dxa" w:w="80"/>
            </w:tcMar>
          </w:tcPr>
          <w:p>
            <w:r>
              <w:rPr>
                <w:b/>
                <w:bCs/>
                <w:sz w:val="19"/>
                <w:szCs w:val="19"/>
              </w:rPr>
            </w:r>
          </w:p>
        </w:tc>
        <w:tc>
          <w:tcPr>
            <w:tcW w:type="dxa" w:w="1872"/>
            <w:shd w:fill="D9D9D9" w:val="clear"/>
            <w:tcMar>
              <w:top w:type="dxa" w:w="60"/>
              <w:left w:type="dxa" w:w="80"/>
              <w:bottom w:type="dxa" w:w="60"/>
              <w:right w:type="dxa" w:w="80"/>
            </w:tcMar>
          </w:tcPr>
          <w:p>
            <w:r>
              <w:rPr>
                <w:b/>
                <w:bCs/>
                <w:sz w:val="19"/>
                <w:szCs w:val="19"/>
              </w:rPr>
            </w:r>
          </w:p>
        </w:tc>
      </w:tr>
      <w:tr>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r>
      <w:tr>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r>
    </w:tbl>
    <w:p>
      <w:pPr>
        <w:spacing w:after="160"/>
      </w:pPr>
    </w:p>
    <w:p>
      <w:pPr>
        <w:spacing w:after="160"/>
      </w:pPr>
      <w:r>
        <w:rPr>
          <w:sz w:val="21"/>
          <w:szCs w:val="21"/>
        </w:rPr>
        <w:t xml:space="preserve">Small caps have underperformed the S&amp;P 500 by </w:t>
      </w:r>
      <w:r>
        <w:rPr>
          <w:b/>
          <w:bCs/>
          <w:sz w:val="21"/>
          <w:szCs w:val="21"/>
        </w:rPr>
        <w:t xml:space="preserve">6.18% over 20 days</w:t>
      </w:r>
      <w:r>
        <w:rPr>
          <w:sz w:val="21"/>
          <w:szCs w:val="21"/>
        </w:rPr>
        <w:t xml:space="preserve">, worse than the −3.72% on Sept 15. IWM ($280.47) is below its MA50 ($293.60) and MA125, and only 2.27% above its MA200. Pipeline note: "Narrow leadership: large caps leading, small caps lagging (risk-off undertone)". This is the classic signature of rising rates: floating-rate-funded small caps suffer first, while mega-cap tech with net cash leads.</w:t>
      </w:r>
    </w:p>
    <w:p>
      <w:pPr>
        <w:pStyle w:val="Heading2"/>
        <w:spacing w:after="120" w:before="240"/>
      </w:pPr>
      <w:r>
        <w:t xml:space="preserve">3. Safe Haven &amp;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D9D9D9" w:val="clear"/>
            <w:tcMar>
              <w:top w:type="dxa" w:w="60"/>
              <w:left w:type="dxa" w:w="80"/>
              <w:bottom w:type="dxa" w:w="60"/>
              <w:right w:type="dxa" w:w="80"/>
            </w:tcMar>
          </w:tcPr>
          <w:p>
            <w:r>
              <w:rPr>
                <w:b/>
                <w:bCs/>
                <w:sz w:val="19"/>
                <w:szCs w:val="19"/>
              </w:rPr>
            </w:r>
          </w:p>
        </w:tc>
        <w:tc>
          <w:tcPr>
            <w:tcW w:type="dxa" w:w="2340"/>
            <w:shd w:fill="D9D9D9" w:val="clear"/>
            <w:tcMar>
              <w:top w:type="dxa" w:w="60"/>
              <w:left w:type="dxa" w:w="80"/>
              <w:bottom w:type="dxa" w:w="60"/>
              <w:right w:type="dxa" w:w="80"/>
            </w:tcMar>
          </w:tcPr>
          <w:p>
            <w:r>
              <w:rPr>
                <w:b/>
                <w:bCs/>
                <w:sz w:val="19"/>
                <w:szCs w:val="19"/>
              </w:rPr>
            </w:r>
          </w:p>
        </w:tc>
        <w:tc>
          <w:tcPr>
            <w:tcW w:type="dxa" w:w="2340"/>
            <w:shd w:fill="D9D9D9" w:val="clear"/>
            <w:tcMar>
              <w:top w:type="dxa" w:w="60"/>
              <w:left w:type="dxa" w:w="80"/>
              <w:bottom w:type="dxa" w:w="60"/>
              <w:right w:type="dxa" w:w="80"/>
            </w:tcMar>
          </w:tcPr>
          <w:p>
            <w:r>
              <w:rPr>
                <w:b/>
                <w:bCs/>
                <w:sz w:val="19"/>
                <w:szCs w:val="19"/>
              </w:rPr>
            </w:r>
          </w:p>
        </w:tc>
        <w:tc>
          <w:tcPr>
            <w:tcW w:type="dxa" w:w="2340"/>
            <w:shd w:fill="D9D9D9" w:val="clear"/>
            <w:tcMar>
              <w:top w:type="dxa" w:w="60"/>
              <w:left w:type="dxa" w:w="80"/>
              <w:bottom w:type="dxa" w:w="60"/>
              <w:right w:type="dxa" w:w="80"/>
            </w:tcMar>
          </w:tcPr>
          <w:p>
            <w:r>
              <w:rPr>
                <w:b/>
                <w:bCs/>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r>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c>
          <w:tcPr>
            <w:tcW w:type="dxa" w:w="2340"/>
            <w:tcMar>
              <w:top w:type="dxa" w:w="60"/>
              <w:left w:type="dxa" w:w="80"/>
              <w:bottom w:type="dxa" w:w="60"/>
              <w:right w:type="dxa" w:w="80"/>
            </w:tcMar>
          </w:tcPr>
          <w:p>
            <w:r>
              <w:rPr>
                <w:sz w:val="19"/>
                <w:szCs w:val="19"/>
              </w:rPr>
            </w:r>
          </w:p>
        </w:tc>
      </w:tr>
    </w:tbl>
    <w:p>
      <w:pPr>
        <w:spacing w:after="160"/>
      </w:pPr>
    </w:p>
    <w:p>
      <w:pPr>
        <w:spacing w:after="160"/>
      </w:pPr>
      <w:r>
        <w:rPr>
          <w:b/>
          <w:bCs/>
          <w:sz w:val="21"/>
          <w:szCs w:val="21"/>
        </w:rPr>
        <w:t xml:space="preserve">Anomaly flag (second report in a row):</w:t>
      </w:r>
      <w:r>
        <w:rPr>
          <w:sz w:val="21"/>
          <w:szCs w:val="21"/>
        </w:rPr>
        <w:t xml:space="preserve"> the pipeline interprets "both bonds and gold falling" as "risk-on, capital rotating into equities". That does not fit: F&amp;G is in Fear, put/call is 1.42, and small caps are breaking down. The more consistent explanation is </w:t>
      </w:r>
      <w:r>
        <w:rPr>
          <w:b/>
          <w:bCs/>
          <w:sz w:val="21"/>
          <w:szCs w:val="21"/>
        </w:rPr>
        <w:t xml:space="preserve">a real-rate and dollar shock</w:t>
      </w:r>
      <w:r>
        <w:rPr>
          <w:sz w:val="21"/>
          <w:szCs w:val="21"/>
        </w:rPr>
        <w:t xml:space="preserve">. Rising real yields and a firmer USD are the textbook drivers of gold weakness, and they hit long-duration bonds the same way. Gold is not acting as an equity hedge right now. It has fallen 7% in a month while fear built. Treat any gold-linked position as a </w:t>
      </w:r>
      <w:r>
        <w:rPr>
          <w:b/>
          <w:bCs/>
          <w:sz w:val="21"/>
          <w:szCs w:val="21"/>
        </w:rPr>
        <w:t xml:space="preserve">rates/USD trade</w:t>
      </w:r>
      <w:r>
        <w:rPr>
          <w:sz w:val="21"/>
          <w:szCs w:val="21"/>
        </w:rPr>
        <w:t xml:space="preserve">, not a hedge.</w:t>
      </w:r>
    </w:p>
    <w:p>
      <w:pPr>
        <w:spacing w:after="160"/>
      </w:pPr>
      <w:r>
        <w:rPr>
          <w:b/>
          <w:bCs/>
          <w:sz w:val="21"/>
          <w:szCs w:val="21"/>
        </w:rPr>
        <w:t xml:space="preserve">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9D9D9" w:val="clear"/>
            <w:tcMar>
              <w:top w:type="dxa" w:w="60"/>
              <w:left w:type="dxa" w:w="80"/>
              <w:bottom w:type="dxa" w:w="60"/>
              <w:right w:type="dxa" w:w="80"/>
            </w:tcMar>
          </w:tcPr>
          <w:p>
            <w:r>
              <w:rPr>
                <w:b/>
                <w:bCs/>
                <w:sz w:val="19"/>
                <w:szCs w:val="19"/>
              </w:rPr>
            </w:r>
          </w:p>
        </w:tc>
        <w:tc>
          <w:tcPr>
            <w:tcW w:type="dxa" w:w="1872"/>
            <w:shd w:fill="D9D9D9" w:val="clear"/>
            <w:tcMar>
              <w:top w:type="dxa" w:w="60"/>
              <w:left w:type="dxa" w:w="80"/>
              <w:bottom w:type="dxa" w:w="60"/>
              <w:right w:type="dxa" w:w="80"/>
            </w:tcMar>
          </w:tcPr>
          <w:p>
            <w:r>
              <w:rPr>
                <w:b/>
                <w:bCs/>
                <w:sz w:val="19"/>
                <w:szCs w:val="19"/>
              </w:rPr>
            </w:r>
          </w:p>
        </w:tc>
        <w:tc>
          <w:tcPr>
            <w:tcW w:type="dxa" w:w="1872"/>
            <w:shd w:fill="D9D9D9" w:val="clear"/>
            <w:tcMar>
              <w:top w:type="dxa" w:w="60"/>
              <w:left w:type="dxa" w:w="80"/>
              <w:bottom w:type="dxa" w:w="60"/>
              <w:right w:type="dxa" w:w="80"/>
            </w:tcMar>
          </w:tcPr>
          <w:p>
            <w:r>
              <w:rPr>
                <w:b/>
                <w:bCs/>
                <w:sz w:val="19"/>
                <w:szCs w:val="19"/>
              </w:rPr>
            </w:r>
          </w:p>
        </w:tc>
        <w:tc>
          <w:tcPr>
            <w:tcW w:type="dxa" w:w="1872"/>
            <w:shd w:fill="D9D9D9" w:val="clear"/>
            <w:tcMar>
              <w:top w:type="dxa" w:w="60"/>
              <w:left w:type="dxa" w:w="80"/>
              <w:bottom w:type="dxa" w:w="60"/>
              <w:right w:type="dxa" w:w="80"/>
            </w:tcMar>
          </w:tcPr>
          <w:p>
            <w:r>
              <w:rPr>
                <w:b/>
                <w:bCs/>
                <w:sz w:val="19"/>
                <w:szCs w:val="19"/>
              </w:rPr>
            </w:r>
          </w:p>
        </w:tc>
        <w:tc>
          <w:tcPr>
            <w:tcW w:type="dxa" w:w="1872"/>
            <w:shd w:fill="D9D9D9" w:val="clear"/>
            <w:tcMar>
              <w:top w:type="dxa" w:w="60"/>
              <w:left w:type="dxa" w:w="80"/>
              <w:bottom w:type="dxa" w:w="60"/>
              <w:right w:type="dxa" w:w="80"/>
            </w:tcMar>
          </w:tcPr>
          <w:p>
            <w:r>
              <w:rPr>
                <w:b/>
                <w:bCs/>
                <w:sz w:val="19"/>
                <w:szCs w:val="19"/>
              </w:rPr>
            </w:r>
          </w:p>
        </w:tc>
      </w:tr>
      <w:tr>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r>
      <w:tr>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r>
      <w:tr>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r>
    </w:tbl>
    <w:p>
      <w:pPr>
        <w:spacing w:after="160"/>
      </w:pPr>
    </w:p>
    <w:p>
      <w:pPr>
        <w:spacing w:after="160"/>
      </w:pPr>
      <w:r>
        <w:rPr>
          <w:sz w:val="21"/>
          <w:szCs w:val="21"/>
        </w:rPr>
        <w:t xml:space="preserve">The pipeline calls the HY/IG spread "neutral", and it is right on *relative* terms: HY is not underperforming IG, so there is </w:t>
      </w:r>
      <w:r>
        <w:rPr>
          <w:b/>
          <w:bCs/>
          <w:sz w:val="21"/>
          <w:szCs w:val="21"/>
        </w:rPr>
        <w:t xml:space="preserve">no spread-widening credit event</w:t>
      </w:r>
      <w:r>
        <w:rPr>
          <w:sz w:val="21"/>
          <w:szCs w:val="21"/>
        </w:rPr>
        <w:t xml:space="preserve">. But all three are below their MA200s and losing 1.7–2.4% in a month. That drawdown is </w:t>
      </w:r>
      <w:r>
        <w:rPr>
          <w:b/>
          <w:bCs/>
          <w:sz w:val="21"/>
          <w:szCs w:val="21"/>
        </w:rPr>
        <w:t xml:space="preserve">duration-driven (rates), not default-driven</w:t>
      </w:r>
      <w:r>
        <w:rPr>
          <w:sz w:val="21"/>
          <w:szCs w:val="21"/>
        </w:rPr>
        <w:t xml:space="preserve">. Together with the Dalio "watch for credit event" flag and Minsky moving to 2/5, it is worth watching but is not yet a risk-off credit signal.</w:t>
      </w:r>
    </w:p>
    <w:p>
      <w:pPr>
        <w:pStyle w:val="Heading2"/>
        <w:spacing w:after="120" w:before="240"/>
      </w:pPr>
      <w:r>
        <w:t xml:space="preserve">4. Rate-Sensitivity Translation</w:t>
      </w:r>
    </w:p>
    <w:p>
      <w:pPr>
        <w:spacing w:after="160"/>
      </w:pPr>
      <w:r>
        <w:rPr>
          <w:sz w:val="21"/>
          <w:szCs w:val="21"/>
        </w:rPr>
        <w:t xml:space="preserve">Today's risk-free rate (</w:t>
      </w:r>
      <w:r>
        <w:rPr>
          <w:b/>
          <w:bCs/>
          <w:sz w:val="21"/>
          <w:szCs w:val="21"/>
        </w:rPr>
        <w:t xml:space="preserve">5.09%</w:t>
      </w:r>
      <w:r>
        <w:rPr>
          <w:sz w:val="21"/>
          <w:szCs w:val="21"/>
        </w:rPr>
        <w:t xml:space="preserve">, sentiment_data.json) vs the Sept 15 report (</w:t>
      </w:r>
      <w:r>
        <w:rPr>
          <w:b/>
          <w:bCs/>
          <w:sz w:val="21"/>
          <w:szCs w:val="21"/>
        </w:rPr>
        <w:t xml:space="preserve">4.961%</w:t>
      </w:r>
      <w:r>
        <w:rPr>
          <w:sz w:val="21"/>
          <w:szCs w:val="21"/>
        </w:rPr>
        <w:t xml:space="preserve">) is </w:t>
      </w:r>
      <w:r>
        <w:rPr>
          <w:b/>
          <w:bCs/>
          <w:sz w:val="21"/>
          <w:szCs w:val="21"/>
        </w:rPr>
        <w:t xml:space="preserve">+13bp</w:t>
      </w:r>
      <w:r>
        <w:rPr>
          <w:sz w:val="21"/>
          <w:szCs w:val="21"/>
        </w:rPr>
        <w:t xml:space="preserve">. Against ~3 months ago (</w:t>
      </w:r>
      <w:r>
        <w:rPr>
          <w:b/>
          <w:bCs/>
          <w:sz w:val="21"/>
          <w:szCs w:val="21"/>
        </w:rPr>
        <w:t xml:space="preserve">~4.49%</w:t>
      </w:r>
      <w:r>
        <w:rPr>
          <w:sz w:val="21"/>
          <w:szCs w:val="21"/>
        </w:rPr>
        <w:t xml:space="preserve">, backed out from ^TNX's +13.8% 3m change) it is </w:t>
      </w:r>
      <w:r>
        <w:rPr>
          <w:b/>
          <w:bCs/>
          <w:sz w:val="21"/>
          <w:szCs w:val="21"/>
        </w:rPr>
        <w:t xml:space="preserve">+60bp</w:t>
      </w:r>
      <w:r>
        <w:rPr>
          <w:sz w:val="21"/>
          <w:szCs w:val="21"/>
        </w:rPr>
        <w:t xml:space="preserve">.</w:t>
      </w:r>
    </w:p>
    <w:p>
      <w:pPr>
        <w:spacing w:after="160"/>
      </w:pPr>
      <w:r>
        <w:rPr>
          <w:sz w:val="21"/>
          <w:szCs w:val="21"/>
        </w:rPr>
        <w:t xml:space="preserve">WACC recomputed through Framework 4 with the same ERP (4.5%) and each name's own beta and capital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D9D9D9" w:val="clear"/>
            <w:tcMar>
              <w:top w:type="dxa" w:w="60"/>
              <w:left w:type="dxa" w:w="80"/>
              <w:bottom w:type="dxa" w:w="60"/>
              <w:right w:type="dxa" w:w="80"/>
            </w:tcMar>
          </w:tcPr>
          <w:p>
            <w:r>
              <w:rPr>
                <w:b/>
                <w:bCs/>
                <w:sz w:val="19"/>
                <w:szCs w:val="19"/>
              </w:rPr>
            </w:r>
          </w:p>
        </w:tc>
        <w:tc>
          <w:tcPr>
            <w:tcW w:type="dxa" w:w="1560"/>
            <w:shd w:fill="D9D9D9" w:val="clear"/>
            <w:tcMar>
              <w:top w:type="dxa" w:w="60"/>
              <w:left w:type="dxa" w:w="80"/>
              <w:bottom w:type="dxa" w:w="60"/>
              <w:right w:type="dxa" w:w="80"/>
            </w:tcMar>
          </w:tcPr>
          <w:p>
            <w:r>
              <w:rPr>
                <w:b/>
                <w:bCs/>
                <w:sz w:val="19"/>
                <w:szCs w:val="19"/>
              </w:rPr>
            </w:r>
          </w:p>
        </w:tc>
        <w:tc>
          <w:tcPr>
            <w:tcW w:type="dxa" w:w="1560"/>
            <w:shd w:fill="D9D9D9" w:val="clear"/>
            <w:tcMar>
              <w:top w:type="dxa" w:w="60"/>
              <w:left w:type="dxa" w:w="80"/>
              <w:bottom w:type="dxa" w:w="60"/>
              <w:right w:type="dxa" w:w="80"/>
            </w:tcMar>
          </w:tcPr>
          <w:p>
            <w:r>
              <w:rPr>
                <w:b/>
                <w:bCs/>
                <w:sz w:val="19"/>
                <w:szCs w:val="19"/>
              </w:rPr>
            </w:r>
          </w:p>
        </w:tc>
        <w:tc>
          <w:tcPr>
            <w:tcW w:type="dxa" w:w="1560"/>
            <w:shd w:fill="D9D9D9" w:val="clear"/>
            <w:tcMar>
              <w:top w:type="dxa" w:w="60"/>
              <w:left w:type="dxa" w:w="80"/>
              <w:bottom w:type="dxa" w:w="60"/>
              <w:right w:type="dxa" w:w="80"/>
            </w:tcMar>
          </w:tcPr>
          <w:p>
            <w:r>
              <w:rPr>
                <w:b/>
                <w:bCs/>
                <w:sz w:val="19"/>
                <w:szCs w:val="19"/>
              </w:rPr>
            </w:r>
          </w:p>
        </w:tc>
        <w:tc>
          <w:tcPr>
            <w:tcW w:type="dxa" w:w="1560"/>
            <w:shd w:fill="D9D9D9" w:val="clear"/>
            <w:tcMar>
              <w:top w:type="dxa" w:w="60"/>
              <w:left w:type="dxa" w:w="80"/>
              <w:bottom w:type="dxa" w:w="60"/>
              <w:right w:type="dxa" w:w="80"/>
            </w:tcMar>
          </w:tcPr>
          <w:p>
            <w:r>
              <w:rPr>
                <w:b/>
                <w:bCs/>
                <w:sz w:val="19"/>
                <w:szCs w:val="19"/>
              </w:rPr>
            </w:r>
          </w:p>
        </w:tc>
        <w:tc>
          <w:tcPr>
            <w:tcW w:type="dxa" w:w="1560"/>
            <w:shd w:fill="D9D9D9" w:val="clear"/>
            <w:tcMar>
              <w:top w:type="dxa" w:w="60"/>
              <w:left w:type="dxa" w:w="80"/>
              <w:bottom w:type="dxa" w:w="60"/>
              <w:right w:type="dxa" w:w="80"/>
            </w:tcMar>
          </w:tcPr>
          <w:p>
            <w:r>
              <w:rPr>
                <w:b/>
                <w:bCs/>
                <w:sz w:val="19"/>
                <w:szCs w:val="19"/>
              </w:rPr>
            </w:r>
          </w:p>
        </w:tc>
      </w:tr>
      <w:tr>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r>
      <w:tr>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r>
    </w:tbl>
    <w:p>
      <w:pPr>
        <w:spacing w:after="160"/>
      </w:pPr>
    </w:p>
    <w:p>
      <w:pPr>
        <w:spacing w:after="160"/>
      </w:pPr>
      <w:r>
        <w:rPr>
          <w:i/>
          <w:iCs/>
          <w:sz w:val="20"/>
          <w:szCs w:val="20"/>
        </w:rPr>
        <w:t xml:space="preserve">Growth-name estimate: the terminal-value leg (1/(WACC − g) multiple × 10-year discount factor) falls 2.5% for +13bp and 11.3% for +60bp. Weighted at a 90% TV share, with the explicit-period leg moving about 1.2–5%, that gives the Δ above.</w:t>
      </w:r>
    </w:p>
    <w:p>
      <w:pPr>
        <w:spacing w:after="160"/>
      </w:pPr>
      <w:r>
        <w:rPr>
          <w:b/>
          <w:bCs/>
          <w:sz w:val="21"/>
          <w:szCs w:val="21"/>
        </w:rPr>
        <w:t xml:space="preserve">What this means:</w:t>
      </w:r>
      <w:r>
        <w:rPr>
          <w:sz w:val="21"/>
          <w:szCs w:val="21"/>
        </w:rPr>
        <w:t xml:space="preserve"> a +60bp rate move in one quarter has taken </w:t>
      </w:r>
      <w:r>
        <w:rPr>
          <w:b/>
          <w:bCs/>
          <w:sz w:val="21"/>
          <w:szCs w:val="21"/>
        </w:rPr>
        <w:t xml:space="preserve">~11% off a typical Track B/C Bull case</w:t>
      </w:r>
      <w:r>
        <w:rPr>
          <w:sz w:val="21"/>
          <w:szCs w:val="21"/>
        </w:rPr>
        <w:t xml:space="preserve">, and about </w:t>
      </w:r>
      <w:r>
        <w:rPr>
          <w:b/>
          <w:bCs/>
          <w:sz w:val="21"/>
          <w:szCs w:val="21"/>
        </w:rPr>
        <w:t xml:space="preserve">6% off a low-TV Track A cyclical like GM</w:t>
      </w:r>
      <w:r>
        <w:rPr>
          <w:sz w:val="21"/>
          <w:szCs w:val="21"/>
        </w:rPr>
        <w:t xml:space="preserve">. That is roughly 1.8× the sensitivity for the same rate move. The Sept 15 report's caveat still holds: rate sensitivity follows *scenario shape* (TV share) more than the Track label. FCX (Track A-MN) had a 94.8% TV share in its Bull case. Also, the cost-of-debt leg barely matters for all-equity growth names but matters a lot for leveraged Track A names (utilities, REITs, captive-finance-heavy OEMs), where financing costs also hit operating earnings directly.</w:t>
      </w:r>
    </w:p>
    <w:p>
      <w:pPr>
        <w:pStyle w:val="Heading2"/>
        <w:spacing w:after="120" w:before="240"/>
      </w:pPr>
      <w:r>
        <w:t xml:space="preserve">5. Sector Rotation &amp; EU-Specific Read</w:t>
      </w:r>
    </w:p>
    <w:p>
      <w:pPr>
        <w:spacing w:after="160"/>
      </w:pPr>
      <w:r>
        <w:rPr>
          <w:b/>
          <w:bCs/>
          <w:sz w:val="21"/>
          <w:szCs w:val="21"/>
        </w:rPr>
        <w:t xml:space="preserve">US sectors (sector_rotation.json, 2026-09-24):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D9D9D9" w:val="clear"/>
            <w:tcMar>
              <w:top w:type="dxa" w:w="60"/>
              <w:left w:type="dxa" w:w="80"/>
              <w:bottom w:type="dxa" w:w="60"/>
              <w:right w:type="dxa" w:w="80"/>
            </w:tcMar>
          </w:tcPr>
          <w:p>
            <w:r>
              <w:rPr>
                <w:b/>
                <w:bCs/>
                <w:sz w:val="19"/>
                <w:szCs w:val="19"/>
              </w:rPr>
            </w:r>
          </w:p>
        </w:tc>
        <w:tc>
          <w:tcPr>
            <w:tcW w:type="dxa" w:w="1872"/>
            <w:shd w:fill="D9D9D9" w:val="clear"/>
            <w:tcMar>
              <w:top w:type="dxa" w:w="60"/>
              <w:left w:type="dxa" w:w="80"/>
              <w:bottom w:type="dxa" w:w="60"/>
              <w:right w:type="dxa" w:w="80"/>
            </w:tcMar>
          </w:tcPr>
          <w:p>
            <w:r>
              <w:rPr>
                <w:b/>
                <w:bCs/>
                <w:sz w:val="19"/>
                <w:szCs w:val="19"/>
              </w:rPr>
            </w:r>
          </w:p>
        </w:tc>
        <w:tc>
          <w:tcPr>
            <w:tcW w:type="dxa" w:w="1872"/>
            <w:shd w:fill="D9D9D9" w:val="clear"/>
            <w:tcMar>
              <w:top w:type="dxa" w:w="60"/>
              <w:left w:type="dxa" w:w="80"/>
              <w:bottom w:type="dxa" w:w="60"/>
              <w:right w:type="dxa" w:w="80"/>
            </w:tcMar>
          </w:tcPr>
          <w:p>
            <w:r>
              <w:rPr>
                <w:b/>
                <w:bCs/>
                <w:sz w:val="19"/>
                <w:szCs w:val="19"/>
              </w:rPr>
            </w:r>
          </w:p>
        </w:tc>
        <w:tc>
          <w:tcPr>
            <w:tcW w:type="dxa" w:w="1872"/>
            <w:shd w:fill="D9D9D9" w:val="clear"/>
            <w:tcMar>
              <w:top w:type="dxa" w:w="60"/>
              <w:left w:type="dxa" w:w="80"/>
              <w:bottom w:type="dxa" w:w="60"/>
              <w:right w:type="dxa" w:w="80"/>
            </w:tcMar>
          </w:tcPr>
          <w:p>
            <w:r>
              <w:rPr>
                <w:b/>
                <w:bCs/>
                <w:sz w:val="19"/>
                <w:szCs w:val="19"/>
              </w:rPr>
            </w:r>
          </w:p>
        </w:tc>
        <w:tc>
          <w:tcPr>
            <w:tcW w:type="dxa" w:w="1872"/>
            <w:shd w:fill="D9D9D9" w:val="clear"/>
            <w:tcMar>
              <w:top w:type="dxa" w:w="60"/>
              <w:left w:type="dxa" w:w="80"/>
              <w:bottom w:type="dxa" w:w="60"/>
              <w:right w:type="dxa" w:w="80"/>
            </w:tcMar>
          </w:tcPr>
          <w:p>
            <w:r>
              <w:rPr>
                <w:b/>
                <w:bCs/>
                <w:sz w:val="19"/>
                <w:szCs w:val="19"/>
              </w:rPr>
            </w:r>
          </w:p>
        </w:tc>
      </w:tr>
      <w:tr>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r>
      <w:tr>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r>
      <w:tr>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r>
      <w:tr>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r>
      <w:tr>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r>
      <w:tr>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r>
      <w:tr>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r>
      <w:tr>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r>
      <w:tr>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r>
      <w:tr>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r>
      <w:tr>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c>
          <w:tcPr>
            <w:tcW w:type="dxa" w:w="1872"/>
            <w:tcMar>
              <w:top w:type="dxa" w:w="60"/>
              <w:left w:type="dxa" w:w="80"/>
              <w:bottom w:type="dxa" w:w="60"/>
              <w:right w:type="dxa" w:w="80"/>
            </w:tcMar>
          </w:tcPr>
          <w:p>
            <w:r>
              <w:rPr>
                <w:sz w:val="19"/>
                <w:szCs w:val="19"/>
              </w:rPr>
            </w:r>
          </w:p>
        </w:tc>
      </w:tr>
    </w:tbl>
    <w:p>
      <w:pPr>
        <w:spacing w:after="160"/>
      </w:pPr>
    </w:p>
    <w:p>
      <w:pPr>
        <w:spacing w:after="160"/>
      </w:pPr>
      <w:r>
        <w:rPr>
          <w:sz w:val="21"/>
          <w:szCs w:val="21"/>
        </w:rPr>
        <w:t xml:space="preserve">Benchmarks 5d / 1m: SPY +2.08% / +0.52%. QQQ +5.29% / +4.00%. IWM −0.70% / −5.77%. MSCI World (IWDA.AS) +2.84% / +2.27%.</w:t>
      </w:r>
    </w:p>
    <w:p>
      <w:pPr>
        <w:spacing w:after="160"/>
      </w:pPr>
      <w:r>
        <w:rPr>
          <w:b/>
          <w:bCs/>
          <w:sz w:val="21"/>
          <w:szCs w:val="21"/>
        </w:rPr>
        <w:t xml:space="preserve">Regime vs rotation:</w:t>
      </w:r>
      <w:r>
        <w:rPr>
          <w:sz w:val="21"/>
          <w:szCs w:val="21"/>
        </w:rPr>
        <w:t xml:space="preserve"> the classifier favours Energy, Commodities and Banks. The tape shows Energy #8 (despite oil +40% in 3 months, so </w:t>
      </w:r>
      <w:r>
        <w:rPr>
          <w:b/>
          <w:bCs/>
          <w:sz w:val="21"/>
          <w:szCs w:val="21"/>
        </w:rPr>
        <w:t xml:space="preserve">energy equities are not following crude</w:t>
      </w:r>
      <w:r>
        <w:rPr>
          <w:sz w:val="21"/>
          <w:szCs w:val="21"/>
        </w:rPr>
        <w:t xml:space="preserve">), Financials #10, and Materials #5 and below MA50. The leadership is almost entirely </w:t>
      </w:r>
      <w:r>
        <w:rPr>
          <w:b/>
          <w:bCs/>
          <w:sz w:val="21"/>
          <w:szCs w:val="21"/>
        </w:rPr>
        <w:t xml:space="preserve">Technology</w:t>
      </w:r>
      <w:r>
        <w:rPr>
          <w:sz w:val="21"/>
          <w:szCs w:val="21"/>
        </w:rPr>
        <w:t xml:space="preserve"> (+6.4% 5d). The laggards are the rate-sensitive sectors: Utilities −8.5% 1m and Real Estate −6.4% 1m, both "bond proxies" repricing to a 5% 10Y. </w:t>
      </w:r>
      <w:r>
        <w:rPr>
          <w:b/>
          <w:bCs/>
          <w:sz w:val="21"/>
          <w:szCs w:val="21"/>
        </w:rPr>
        <w:t xml:space="preserve">Only 4 of 11 US sectors are above their MA50.</w:t>
      </w:r>
      <w:r>
        <w:rPr>
          <w:sz w:val="21"/>
          <w:szCs w:val="21"/>
        </w:rPr>
        <w:t xml:space="preserve"> A neutral composite (50.9) alongside rising QQQ/SPY and falling IWM/SPY is </w:t>
      </w:r>
      <w:r>
        <w:rPr>
          <w:b/>
          <w:bCs/>
          <w:sz w:val="21"/>
          <w:szCs w:val="21"/>
        </w:rPr>
        <w:t xml:space="preserve">narrow, not broad</w:t>
      </w:r>
      <w:r>
        <w:rPr>
          <w:sz w:val="21"/>
          <w:szCs w:val="21"/>
        </w:rPr>
        <w:t xml:space="preserve">, strength. The index-level calm (SPY above both MAs, 7.2% over MA200) is carried by a handful of mega-caps.</w:t>
      </w:r>
    </w:p>
    <w:p>
      <w:pPr>
        <w:spacing w:after="160"/>
      </w:pPr>
      <w:r>
        <w:rPr>
          <w:b/>
          <w:bCs/>
          <w:sz w:val="21"/>
          <w:szCs w:val="21"/>
        </w:rPr>
        <w:t xml:space="preserve">EU sectors (5d / 1m):</w:t>
      </w:r>
      <w:r>
        <w:rPr>
          <w:sz w:val="21"/>
          <w:szCs w:val="21"/>
        </w:rPr>
        <w:t xml:space="preserve"> #1 Technology +5.24% / −0.26%. #2 Industrials +3.72% / −1.98%. #3 Construction +2.90% / −4.53%. #4 Travel &amp; Leisure +2.65% / +1.10%. … </w:t>
      </w:r>
      <w:r>
        <w:rPr>
          <w:b/>
          <w:bCs/>
          <w:sz w:val="21"/>
          <w:szCs w:val="21"/>
        </w:rPr>
        <w:t xml:space="preserve">#11 Autos −2.10% / −2.38%</w:t>
      </w:r>
      <w:r>
        <w:rPr>
          <w:sz w:val="21"/>
          <w:szCs w:val="21"/>
        </w:rPr>
        <w:t xml:space="preserve">. #12 Telecom −3.27% / −2.07%. EU Oil &amp; Gas is #10, so energy is weak on both sides of the Atlantic.</w:t>
      </w:r>
    </w:p>
    <w:p>
      <w:pPr>
        <w:spacing w:after="160"/>
      </w:pPr>
      <w:r>
        <w:rPr>
          <w:b/>
          <w:bCs/>
          <w:sz w:val="21"/>
          <w:szCs w:val="21"/>
        </w:rPr>
        <w:t xml:space="preserve">EU indices vs moving averages (2026-09-24):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D9D9D9" w:val="clear"/>
            <w:tcMar>
              <w:top w:type="dxa" w:w="60"/>
              <w:left w:type="dxa" w:w="80"/>
              <w:bottom w:type="dxa" w:w="60"/>
              <w:right w:type="dxa" w:w="80"/>
            </w:tcMar>
          </w:tcPr>
          <w:p>
            <w:r>
              <w:rPr>
                <w:b/>
                <w:bCs/>
                <w:sz w:val="19"/>
                <w:szCs w:val="19"/>
              </w:rPr>
            </w:r>
          </w:p>
        </w:tc>
        <w:tc>
          <w:tcPr>
            <w:tcW w:type="dxa" w:w="1560"/>
            <w:shd w:fill="D9D9D9" w:val="clear"/>
            <w:tcMar>
              <w:top w:type="dxa" w:w="60"/>
              <w:left w:type="dxa" w:w="80"/>
              <w:bottom w:type="dxa" w:w="60"/>
              <w:right w:type="dxa" w:w="80"/>
            </w:tcMar>
          </w:tcPr>
          <w:p>
            <w:r>
              <w:rPr>
                <w:b/>
                <w:bCs/>
                <w:sz w:val="19"/>
                <w:szCs w:val="19"/>
              </w:rPr>
            </w:r>
          </w:p>
        </w:tc>
        <w:tc>
          <w:tcPr>
            <w:tcW w:type="dxa" w:w="1560"/>
            <w:shd w:fill="D9D9D9" w:val="clear"/>
            <w:tcMar>
              <w:top w:type="dxa" w:w="60"/>
              <w:left w:type="dxa" w:w="80"/>
              <w:bottom w:type="dxa" w:w="60"/>
              <w:right w:type="dxa" w:w="80"/>
            </w:tcMar>
          </w:tcPr>
          <w:p>
            <w:r>
              <w:rPr>
                <w:b/>
                <w:bCs/>
                <w:sz w:val="19"/>
                <w:szCs w:val="19"/>
              </w:rPr>
            </w:r>
          </w:p>
        </w:tc>
        <w:tc>
          <w:tcPr>
            <w:tcW w:type="dxa" w:w="1560"/>
            <w:shd w:fill="D9D9D9" w:val="clear"/>
            <w:tcMar>
              <w:top w:type="dxa" w:w="60"/>
              <w:left w:type="dxa" w:w="80"/>
              <w:bottom w:type="dxa" w:w="60"/>
              <w:right w:type="dxa" w:w="80"/>
            </w:tcMar>
          </w:tcPr>
          <w:p>
            <w:r>
              <w:rPr>
                <w:b/>
                <w:bCs/>
                <w:sz w:val="19"/>
                <w:szCs w:val="19"/>
              </w:rPr>
            </w:r>
          </w:p>
        </w:tc>
        <w:tc>
          <w:tcPr>
            <w:tcW w:type="dxa" w:w="1560"/>
            <w:shd w:fill="D9D9D9" w:val="clear"/>
            <w:tcMar>
              <w:top w:type="dxa" w:w="60"/>
              <w:left w:type="dxa" w:w="80"/>
              <w:bottom w:type="dxa" w:w="60"/>
              <w:right w:type="dxa" w:w="80"/>
            </w:tcMar>
          </w:tcPr>
          <w:p>
            <w:r>
              <w:rPr>
                <w:b/>
                <w:bCs/>
                <w:sz w:val="19"/>
                <w:szCs w:val="19"/>
              </w:rPr>
            </w:r>
          </w:p>
        </w:tc>
        <w:tc>
          <w:tcPr>
            <w:tcW w:type="dxa" w:w="1560"/>
            <w:shd w:fill="D9D9D9" w:val="clear"/>
            <w:tcMar>
              <w:top w:type="dxa" w:w="60"/>
              <w:left w:type="dxa" w:w="80"/>
              <w:bottom w:type="dxa" w:w="60"/>
              <w:right w:type="dxa" w:w="80"/>
            </w:tcMar>
          </w:tcPr>
          <w:p>
            <w:r>
              <w:rPr>
                <w:b/>
                <w:bCs/>
                <w:sz w:val="19"/>
                <w:szCs w:val="19"/>
              </w:rPr>
            </w:r>
          </w:p>
        </w:tc>
      </w:tr>
      <w:tr>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r>
      <w:tr>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r>
      <w:tr>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r>
      <w:tr>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r>
              <w:rPr>
                <w:sz w:val="19"/>
                <w:szCs w:val="19"/>
              </w:rPr>
            </w:r>
          </w:p>
        </w:tc>
        <w:tc>
          <w:tcPr>
            <w:tcW w:type="dxa" w:w="1560"/>
            <w:tcMar>
              <w:top w:type="dxa" w:w="60"/>
              <w:left w:type="dxa" w:w="80"/>
              <w:bottom w:type="dxa" w:w="60"/>
              <w:right w:type="dxa" w:w="80"/>
            </w:tcMar>
          </w:tcPr>
          <w:p>
            <w:r>
              <w:rPr>
                <w:sz w:val="19"/>
                <w:szCs w:val="19"/>
              </w:rPr>
            </w:r>
          </w:p>
        </w:tc>
        <w:tc>
          <w:tcPr>
            <w:tcW w:type="dxa" w:w="1560"/>
            <w:tcMar>
              <w:top w:type="dxa" w:w="60"/>
              <w:left w:type="dxa" w:w="80"/>
              <w:bottom w:type="dxa" w:w="60"/>
              <w:right w:type="dxa" w:w="80"/>
            </w:tcMar>
          </w:tcPr>
          <w:p>
            <w:r>
              <w:rPr>
                <w:sz w:val="19"/>
                <w:szCs w:val="19"/>
              </w:rPr>
            </w:r>
          </w:p>
        </w:tc>
      </w:tr>
    </w:tbl>
    <w:p>
      <w:pPr>
        <w:spacing w:after="160"/>
      </w:pPr>
    </w:p>
    <w:p>
      <w:pPr>
        <w:spacing w:after="160"/>
      </w:pPr>
      <w:r>
        <w:rPr>
          <w:b/>
          <w:bCs/>
          <w:sz w:val="21"/>
          <w:szCs w:val="21"/>
        </w:rPr>
        <w:t xml:space="preserve">CAC 40 is still the only index below its MA200</w:t>
      </w:r>
      <w:r>
        <w:rPr>
          <w:sz w:val="21"/>
          <w:szCs w:val="21"/>
        </w:rPr>
        <w:t xml:space="preserve">, now −1.50% (−1.95% on Sept 15, so marginally better but not repaired). This is still consistent with the French political/fiscal risk tracked since Sept 8 (the government's no-confidence fall and wider OAT-Bund spreads), not an unexplained divergence. All four indices are below their MA50, so the whole EU complex is correcting, but only France has broken its long-term trend.</w:t>
      </w:r>
    </w:p>
    <w:p>
      <w:pPr>
        <w:spacing w:after="160"/>
      </w:pPr>
      <w:r>
        <w:rPr>
          <w:b/>
          <w:bCs/>
          <w:sz w:val="21"/>
          <w:szCs w:val="21"/>
        </w:rPr>
        <w:t xml:space="preserve">EUR/USD 1.1377</w:t>
      </w:r>
      <w:r>
        <w:rPr>
          <w:sz w:val="21"/>
          <w:szCs w:val="21"/>
        </w:rPr>
        <w:t xml:space="preserve">, −0.81% (5d) and −2.39% (20d), weakening (1.1541 on Sept 15). For a EUR-based investor, USD assets have </w:t>
      </w:r>
      <w:r>
        <w:rPr>
          <w:b/>
          <w:bCs/>
          <w:sz w:val="21"/>
          <w:szCs w:val="21"/>
        </w:rPr>
        <w:t xml:space="preserve">gained ~1.4% in EUR terms since Sept 15 from FX alone</w:t>
      </w:r>
      <w:r>
        <w:rPr>
          <w:sz w:val="21"/>
          <w:szCs w:val="21"/>
        </w:rPr>
        <w:t xml:space="preserve">, which masks part of any USD drawdown. Conversely, a USD rebound in EUR/USD would take that away. Example: GM at $82.57 is €72.58 today and would be ~€71.6 at the Sept 15 rate of 1.1541.</w:t>
      </w:r>
    </w:p>
    <w:p>
      <w:pPr>
        <w:spacing w:after="160"/>
      </w:pPr>
      <w:r>
        <w:rPr>
          <w:b/>
          <w:bCs/>
          <w:sz w:val="21"/>
          <w:szCs w:val="21"/>
        </w:rPr>
        <w:t xml:space="preserve">EU composite 53 (Neutral) vs US composite 50.9 (Neutral).</w:t>
      </w:r>
      <w:r>
        <w:rPr>
          <w:sz w:val="21"/>
          <w:szCs w:val="21"/>
        </w:rPr>
        <w:t xml:space="preserve"> On Sept 15 the EU was 5 points *below* the US (50 vs 55.1). Today it is 2 points *above*. This is not EU strength (every EU index is below its MA50). The US read fell further (−4.8 today) because of the rate shock, which hits US high-multiple equities harder than value-heavy EU indices.</w:t>
      </w:r>
    </w:p>
    <w:p>
      <w:pPr>
        <w:pStyle w:val="Heading2"/>
        <w:spacing w:after="120" w:before="240"/>
      </w:pPr>
      <w:r>
        <w:t xml:space="preserve">6. Implications for Deep-Dives Run Soon After</w:t>
      </w:r>
    </w:p>
    <w:p>
      <w:pPr>
        <w:pStyle w:val="ListParagraph"/>
        <w:numPr>
          <w:ilvl w:val="0"/>
          <w:numId w:val="1"/>
        </w:numPr>
        <w:spacing w:after="60"/>
      </w:pPr>
      <w:r>
        <w:rPr>
          <w:b/>
          <w:bCs/>
          <w:sz w:val="21"/>
          <w:szCs w:val="21"/>
        </w:rPr>
        <w:t xml:space="preserve">Use Rf 5.09%, not 4.96% or lower,</w:t>
      </w:r>
      <w:r>
        <w:rPr>
          <w:sz w:val="21"/>
          <w:szCs w:val="21"/>
        </w:rPr>
        <w:t xml:space="preserve"> for every new Deep-Dive. That adds ~13bp of WACC versus the Sept 15 calibration and ~60bp versus anything run in June–July. The Sept 15 batch (CATL, FCX, IMO, CRH, SOFI) and the Sept 22 batch (DY, FN, INTC, LITE, LLOY.L, MU, MXL, TJX, UBER) should be treated as having </w:t>
      </w:r>
      <w:r>
        <w:rPr>
          <w:b/>
          <w:bCs/>
          <w:sz w:val="21"/>
          <w:szCs w:val="21"/>
        </w:rPr>
        <w:t xml:space="preserve">Bull cases overstated by ~2–3% for growth names and ~1% for Track A</w:t>
      </w:r>
      <w:r>
        <w:rPr>
          <w:sz w:val="21"/>
          <w:szCs w:val="21"/>
        </w:rPr>
        <w:t xml:space="preserve"> from the rate move alone. Anything from before mid-August carries ~5–11% of stale rate optimism.</w:t>
      </w:r>
    </w:p>
    <w:p>
      <w:pPr>
        <w:pStyle w:val="ListParagraph"/>
        <w:numPr>
          <w:ilvl w:val="0"/>
          <w:numId w:val="1"/>
        </w:numPr>
        <w:spacing w:after="60"/>
      </w:pPr>
      <w:r>
        <w:rPr>
          <w:b/>
          <w:bCs/>
          <w:sz w:val="21"/>
          <w:szCs w:val="21"/>
        </w:rPr>
        <w:t xml:space="preserve">Be more skeptical than usual of a Bull-case DCF clearing the MoS Gate.</w:t>
      </w:r>
      <w:r>
        <w:rPr>
          <w:sz w:val="21"/>
          <w:szCs w:val="21"/>
        </w:rPr>
        <w:t xml:space="preserve"> The regime has moved to "late cycle, watch for credit event". Minsky rose 0 → 2. The 5Y is repricing the Fed path. Small-cap breadth is −6.2% in 20 days. Put/call is 1.42. None of these alone is a stop sign, and credit spreads are *not* widening, but they all point the same way. Long-duration Track B/C names (85–95% TV) carry the most embedded rate risk. Rate-sensitive Track A sectors (utilities, REITs, and </w:t>
      </w:r>
      <w:r>
        <w:rPr>
          <w:b/>
          <w:bCs/>
          <w:sz w:val="21"/>
          <w:szCs w:val="21"/>
        </w:rPr>
        <w:t xml:space="preserve">captive-finance-heavy cyclicals such as autos</w:t>
      </w:r>
      <w:r>
        <w:rPr>
          <w:sz w:val="21"/>
          <w:szCs w:val="21"/>
        </w:rPr>
        <w:t xml:space="preserve">, where higher rates hit both the discount rate and consumer affordability/credit losses) carry a second-order earnings risk that a WACC tweak does not capture.</w:t>
      </w:r>
    </w:p>
    <w:p>
      <w:pPr>
        <w:pStyle w:val="ListParagraph"/>
        <w:numPr>
          <w:ilvl w:val="0"/>
          <w:numId w:val="1"/>
        </w:numPr>
        <w:spacing w:after="60"/>
      </w:pPr>
      <w:r>
        <w:rPr>
          <w:b/>
          <w:bCs/>
          <w:sz w:val="21"/>
          <w:szCs w:val="21"/>
        </w:rPr>
        <w:t xml:space="preserve">Oil +40% in 3 months is the under-appreciated input.</w:t>
      </w:r>
      <w:r>
        <w:rPr>
          <w:sz w:val="21"/>
          <w:szCs w:val="21"/>
        </w:rPr>
        <w:t xml:space="preserve"> It feeds the "inflation RISING" read and the 5Y selloff, and it directly threatens the business models of truck/SUV-mix OEMs (see the GM Deep-Dive: ~87% of profit from GMNA trucks/SUVs), airlines and consumer discretionary. It has </w:t>
      </w:r>
      <w:r>
        <w:rPr>
          <w:b/>
          <w:bCs/>
          <w:sz w:val="21"/>
          <w:szCs w:val="21"/>
        </w:rPr>
        <w:t xml:space="preserve">not</w:t>
      </w:r>
      <w:r>
        <w:rPr>
          <w:sz w:val="21"/>
          <w:szCs w:val="21"/>
        </w:rPr>
        <w:t xml:space="preserve"> lifted energy equities (US #8, EU #10), so the market doubts the oil move will last. Do not assume energy equities hedge an oil spike right now.</w:t>
      </w:r>
    </w:p>
    <w:p>
      <w:pPr>
        <w:pStyle w:val="ListParagraph"/>
        <w:numPr>
          <w:ilvl w:val="0"/>
          <w:numId w:val="1"/>
        </w:numPr>
        <w:spacing w:after="60"/>
      </w:pPr>
      <w:r>
        <w:rPr>
          <w:b/>
          <w:bCs/>
          <w:sz w:val="21"/>
          <w:szCs w:val="21"/>
        </w:rPr>
        <w:t xml:space="preserve">Gold is not a hedge in this tape.</w:t>
      </w:r>
      <w:r>
        <w:rPr>
          <w:sz w:val="21"/>
          <w:szCs w:val="21"/>
        </w:rPr>
        <w:t xml:space="preserve"> It is trading as a real-rates/USD asset (−7.2% 1m). Carry that into any gold-linked analysis.</w:t>
      </w:r>
    </w:p>
    <w:p>
      <w:pPr>
        <w:pStyle w:val="ListParagraph"/>
        <w:numPr>
          <w:ilvl w:val="0"/>
          <w:numId w:val="1"/>
        </w:numPr>
        <w:spacing w:after="60"/>
      </w:pPr>
      <w:r>
        <w:rPr>
          <w:b/>
          <w:bCs/>
          <w:sz w:val="21"/>
          <w:szCs w:val="21"/>
        </w:rPr>
        <w:t xml:space="preserve">For EUR-denominated exposure:</w:t>
      </w:r>
      <w:r>
        <w:rPr>
          <w:sz w:val="21"/>
          <w:szCs w:val="21"/>
        </w:rPr>
        <w:t xml:space="preserve"> a weaker euro flatters USD holdings in EUR terms (+1.4% since Sept 15). France (CAC 40 below MA200) still deserves more caution than the rest of the EU.</w:t>
      </w:r>
    </w:p>
    <w:p>
      <w:pPr>
        <w:spacing w:after="160"/>
      </w:pPr>
      <w:r>
        <w:rPr>
          <w:i/>
          <w:iCs/>
          <w:sz w:val="20"/>
          <w:szCs w:val="20"/>
        </w:rPr>
        <w:t xml:space="preserve">This report names no ticker for action, issues no rating, and recommends no position. It is general market-regime context only, produced by long-term-analyst.md (Macro Mode). Every figure is dated to the pipeline files listed above. In my opinion, this is not financial advice, just my 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2026-09-24T14:31:02.440Z</dcterms:created>
  <dcterms:modified xsi:type="dcterms:W3CDTF">2026-09-24T14:31:02.441Z</dcterms:modified>
</cp:coreProperties>
</file>

<file path=docProps/custom.xml><?xml version="1.0" encoding="utf-8"?>
<Properties xmlns="http://schemas.openxmlformats.org/officeDocument/2006/custom-properties" xmlns:vt="http://schemas.openxmlformats.org/officeDocument/2006/docPropsVTypes"/>
</file>