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MU (Micron Technology) — Long-Term Deep-Dive — 2026-09-22</w:t>
      </w:r>
    </w:p>
    <w:p>
      <w:pPr>
        <w:spacing w:after="120"/>
      </w:pPr>
      <w:r>
        <w:t xml:space="preserve">Current price: </w:t>
      </w:r>
      <w:r>
        <w:rPr>
          <w:b/>
          <w:bCs/>
        </w:rPr>
        <w:t xml:space="preserve">$1,043.96</w:t>
      </w:r>
      <w:r>
        <w:t xml:space="preserve"> (Sept 21, 2026 close) | Shares out: 1,129M | Market cap: ~$1,178.6B | Net cash: ~$19.6B | EV: ~$1,159.0B</w:t>
      </w:r>
    </w:p>
    <w:p>
      <w:pPr>
        <w:spacing w:after="120"/>
      </w:pPr>
      <w:r>
        <w:rPr>
          <w:b/>
          <w:bCs/>
        </w:rPr>
        <w:t xml:space="preserve">Data-quality note (resolves the pre-research flag):</w:t>
      </w:r>
      <w:r>
        <w:t xml:space="preserve"> `data/fundamental_data.json`'s MU entry (price $1,071.49, revenue_growth +345.7%, earnings_growth +1368.5%) was flagged before this research as a possible pipeline error. It is not an error. Independent verification confirms these figures are genuine: Micron's fiscal Q3 2026 revenue grew 346% YoY on a historic AI/HBM-driven memory upcycle, and the pipeline's price is within a few days/percent of the confirmed $1,043.96 Sept 21 close. This is one of the most extreme single-year fundamental swings of any large-cap company in the current market — treat every "record," "surge," and "record margin" below as literal, not hyperbole, and read the whole report against that backdrop.</w:t>
      </w:r>
    </w:p>
    <w:p>
      <w:pPr>
        <w:pStyle w:val="Heading2"/>
      </w:pPr>
      <w:r>
        <w:t xml:space="preserve">0. Recent Context</w:t>
      </w:r>
    </w:p>
    <w:p>
      <w:pPr>
        <w:spacing w:after="120"/>
      </w:pPr>
      <w:r>
        <w:rPr>
          <w:b/>
          <w:bCs/>
        </w:rPr>
        <w:t xml:space="preserve">Last reported quarter — fiscal Q3 2026 (ended May 28, 2026), reported ~June 2026:</w:t>
      </w:r>
    </w:p>
    <w:p>
      <w:pPr>
        <w:pStyle w:val="ListParagraph"/>
        <w:numPr>
          <w:ilvl w:val="0"/>
          <w:numId w:val="1"/>
        </w:numPr>
      </w:pPr>
      <w:r>
        <w:t xml:space="preserve">Revenue: </w:t>
      </w:r>
      <w:r>
        <w:rPr>
          <w:b/>
          <w:bCs/>
        </w:rPr>
        <w:t xml:space="preserve">$41.46B</w:t>
      </w:r>
      <w:r>
        <w:t xml:space="preserve">, up 346% YoY (vs. ~$9.3B a year earlier on a like-for-like base) and up 74% QoQ from Q2 FY26's $23.86B — both records, beating management's own $33.5B guidance by 24%.</w:t>
      </w:r>
    </w:p>
    <w:p>
      <w:pPr>
        <w:pStyle w:val="ListParagraph"/>
        <w:numPr>
          <w:ilvl w:val="0"/>
          <w:numId w:val="1"/>
        </w:numPr>
      </w:pPr>
      <w:r>
        <w:t xml:space="preserve">Non-GAAP gross margin: </w:t>
      </w:r>
      <w:r>
        <w:rPr>
          <w:b/>
          <w:bCs/>
        </w:rPr>
        <w:t xml:space="preserve">84.9%</w:t>
      </w:r>
      <w:r>
        <w:t xml:space="preserve">, a record.</w:t>
      </w:r>
    </w:p>
    <w:p>
      <w:pPr>
        <w:pStyle w:val="ListParagraph"/>
        <w:numPr>
          <w:ilvl w:val="0"/>
          <w:numId w:val="1"/>
        </w:numPr>
      </w:pPr>
      <w:r>
        <w:t xml:space="preserve">Guidance issued for Q4 FY26 (the quarter that ends within days of this report and reports </w:t>
      </w:r>
      <w:r>
        <w:rPr>
          <w:b/>
          <w:bCs/>
        </w:rPr>
        <w:t xml:space="preserve">September 30, 2026 — 6 trading days from today, the single nearest event risk to this thesis</w:t>
      </w:r>
      <w:r>
        <w:t xml:space="preserve">): revenue </w:t>
      </w:r>
      <w:r>
        <w:rPr>
          <w:b/>
          <w:bCs/>
        </w:rPr>
        <w:t xml:space="preserve">$50.0B ± $1.0B</w:t>
      </w:r>
      <w:r>
        <w:t xml:space="preserve"> (another record, +21% QoQ), gross margin </w:t>
      </w:r>
      <w:r>
        <w:rPr>
          <w:b/>
          <w:bCs/>
        </w:rPr>
        <w:t xml:space="preserve">~86%</w:t>
      </w:r>
      <w:r>
        <w:t xml:space="preserve">, opex </w:t>
      </w:r>
      <w:r>
        <w:rPr>
          <w:b/>
          <w:bCs/>
        </w:rPr>
        <w:t xml:space="preserve">~$1.65B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Full fiscal-year 2026 revenue trajectory by quarter: Q1 $13.64B → Q2 $23.86B → Q3 $41.46B → Q4 guide $50.0B midpoint. Full FY26 ≈ </w:t>
      </w:r>
      <w:r>
        <w:rPr>
          <w:b/>
          <w:bCs/>
        </w:rPr>
        <w:t xml:space="preserve">$129.0B</w:t>
      </w:r>
      <w:r>
        <w:t xml:space="preserve"> (vs. FY25's $37.4B — a ~3.5x increase in one fiscal year), pending the Sept 30 print.</w:t>
      </w:r>
    </w:p>
    <w:p>
      <w:pPr>
        <w:pStyle w:val="ListParagraph"/>
        <w:numPr>
          <w:ilvl w:val="0"/>
          <w:numId w:val="1"/>
        </w:numPr>
      </w:pPr>
      <w:r>
        <w:t xml:space="preserve">Management commentary: HBM4 (built on 1-beta DRAM) is in high-volume shipments for the "lead customer's platform" (industry reporting identifies this as Nvidia-platform-qualified, though Micron's own release does not name the customer); HBM4E (1-gamma node) development underway, volume production targeted for calendar 2027. Micron reiterated a view that HBM TAM will exceed $100B by 2028 (pulled forward two years from a prior 2030 estimate).</w:t>
      </w:r>
    </w:p>
    <w:p>
      <w:pPr>
        <w:spacing w:after="120"/>
      </w:pPr>
      <w:r>
        <w:rPr>
          <w:b/>
          <w:bCs/>
        </w:rPr>
        <w:t xml:space="preserve">Recent news (trailing ~90 days):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Sept 14, 2026 — semiconductor-wide selloff.</w:t>
      </w:r>
      <w:r>
        <w:t xml:space="preserve"> MU fell ~5% to ~$902 (from an intraday high above $1,040) alongside NVDA, AVGO, AMD, SK Hynix (-6%+) and the broader chip complex, triggered by Anthropic CEO Dario Amodei's public comments urging a slower, more coordinated pace of AI development, echoed by Sam Altman and Elon Musk — a genuine "AI-bubble-fear" repricing event, not company-specific news. This is the same event this session's macro report (`data/daily_macro_report/macro_report_2026-09-22.md`) independently flags as triggering a confirmed Kindleberger Stage 4 (Profit Taking/Distribution) bubble-risk classification for the semiconductor sector as a whole, with a mandated SHORT BIAS screening flag for the sector — directly relevant context for this long-term thesis, not a separate story.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CEO stock sales:</w:t>
      </w:r>
      <w:r>
        <w:t xml:space="preserve"> Sanjay Mehrotra (President &amp; CEO) has been selling shares on a </w:t>
      </w:r>
      <w:r>
        <w:rPr>
          <w:b/>
          <w:bCs/>
        </w:rPr>
        <w:t xml:space="preserve">Rule 10b5-1 pre-planned trading schedule</w:t>
      </w:r>
      <w:r>
        <w:t xml:space="preserve"> at roughly monthly cadence — filings show sales in the $906–$915 range (July 24, 2026) and $959–$981 range (Aug 21, 2026), consistent with a standing plan rather than opportunistic timing. Pre-planned sales are a materially weaker signal than discretionary open-market selling, but the cadence and rising dollar value alongside the stock's ascent is still worth tracking as the stock continues higher.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Capacity investment:</w:t>
      </w:r>
      <w:r>
        <w:t xml:space="preserve"> company commentary (referenced in Q3/Q4 materials) points to a ~$10B Boise, Idaho R&amp;D/lab investment and continued US fab buildout (Tongluo and other sites), part of a capex program now running well above $25B/year for FY26 with FY27 capex guided to step up "meaningfully" (construction-related capex alone +$10B+ YoY).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Dividend:</w:t>
      </w:r>
      <w:r>
        <w:t xml:space="preserve"> quarterly dividend raised 30%, from $0.115 to </w:t>
      </w:r>
      <w:r>
        <w:rPr>
          <w:b/>
          <w:bCs/>
        </w:rPr>
        <w:t xml:space="preserve">$0.15/share</w:t>
      </w:r>
      <w:r>
        <w:t xml:space="preserve"> — a token yield (~0.06% at the current price) relative to the scale of cash generation, signaling capital priority remains capacity investment, not shareholder distribution.</w:t>
      </w:r>
    </w:p>
    <w:p>
      <w:pPr>
        <w:pStyle w:val="ListParagraph"/>
        <w:numPr>
          <w:ilvl w:val="0"/>
          <w:numId w:val="1"/>
        </w:numPr>
      </w:pPr>
      <w:r>
        <w:t xml:space="preserve">No M&amp;A, executive-change, or regulatory/legal action of note surfaced in this research pass.</w:t>
      </w:r>
    </w:p>
    <w:p>
      <w:pPr>
        <w:pStyle w:val="Heading2"/>
      </w:pPr>
      <w:r>
        <w:t xml:space="preserve">1. Business Overview</w:t>
      </w:r>
    </w:p>
    <w:p>
      <w:pPr>
        <w:spacing w:after="120"/>
      </w:pPr>
      <w:r>
        <w:rPr>
          <w:b/>
          <w:bCs/>
        </w:rPr>
        <w:t xml:space="preserve">Segments (Micron's current reporting structure, reorganized during FY26 from the legacy CNBU/MBU/SBU/EBU structure into a DRAM/NAND-product-type view):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val="clear"/>
          </w:tcPr>
          <w:p>
            <w:r>
              <w:t xml:space="preserve">Segment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What it covers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9-month FY26 revenue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% of total</w:t>
            </w:r>
          </w:p>
        </w:tc>
      </w:tr>
      <w:tr>
        <w:tc>
          <w:tcPr>
            <w:tcW w:type="dxa" w:w="2250"/>
          </w:tcPr>
          <w:p>
            <w:r>
              <w:t xml:space="preserve">CMBU (Compute Memory Business Unit)</w:t>
            </w:r>
          </w:p>
        </w:tc>
        <w:tc>
          <w:tcPr>
            <w:tcW w:type="dxa" w:w="2250"/>
          </w:tcPr>
          <w:p>
            <w:r>
              <w:t xml:space="preserve">DRAM for cloud/enterprise/client compute</w:t>
            </w:r>
          </w:p>
        </w:tc>
        <w:tc>
          <w:tcPr>
            <w:tcW w:type="dxa" w:w="2250"/>
          </w:tcPr>
          <w:p>
            <w:r>
              <w:t xml:space="preserve">$26,802M</w:t>
            </w:r>
          </w:p>
        </w:tc>
        <w:tc>
          <w:tcPr>
            <w:tcW w:type="dxa" w:w="2250"/>
          </w:tcPr>
          <w:p>
            <w:r>
              <w:t xml:space="preserve">34%</w:t>
            </w:r>
          </w:p>
        </w:tc>
      </w:tr>
      <w:tr>
        <w:tc>
          <w:tcPr>
            <w:tcW w:type="dxa" w:w="2250"/>
          </w:tcPr>
          <w:p>
            <w:r>
              <w:t xml:space="preserve">CDBU (Client &amp; Data-center Business Unit)</w:t>
            </w:r>
          </w:p>
        </w:tc>
        <w:tc>
          <w:tcPr>
            <w:tcW w:type="dxa" w:w="2250"/>
          </w:tcPr>
          <w:p>
            <w:r>
              <w:t xml:space="preserve">includes HBM and data-center-facing products</w:t>
            </w:r>
          </w:p>
        </w:tc>
        <w:tc>
          <w:tcPr>
            <w:tcW w:type="dxa" w:w="2250"/>
          </w:tcPr>
          <w:p>
            <w:r>
              <w:t xml:space="preserve">$19,590M</w:t>
            </w:r>
          </w:p>
        </w:tc>
        <w:tc>
          <w:tcPr>
            <w:tcW w:type="dxa" w:w="2250"/>
          </w:tcPr>
          <w:p>
            <w:r>
              <w:t xml:space="preserve">25%</w:t>
            </w:r>
          </w:p>
        </w:tc>
      </w:tr>
      <w:tr>
        <w:tc>
          <w:tcPr>
            <w:tcW w:type="dxa" w:w="2250"/>
          </w:tcPr>
          <w:p>
            <w:r>
              <w:t xml:space="preserve">MCBU (Mobile &amp; Consumer Business Unit)</w:t>
            </w:r>
          </w:p>
        </w:tc>
        <w:tc>
          <w:tcPr>
            <w:tcW w:type="dxa" w:w="2250"/>
          </w:tcPr>
          <w:p>
            <w:r>
              <w:t xml:space="preserve">mobile/consumer DRAM+NAND</w:t>
            </w:r>
          </w:p>
        </w:tc>
        <w:tc>
          <w:tcPr>
            <w:tcW w:type="dxa" w:w="2250"/>
          </w:tcPr>
          <w:p>
            <w:r>
              <w:t xml:space="preserve">$23,487M</w:t>
            </w:r>
          </w:p>
        </w:tc>
        <w:tc>
          <w:tcPr>
            <w:tcW w:type="dxa" w:w="2250"/>
          </w:tcPr>
          <w:p>
            <w:r>
              <w:t xml:space="preserve">30%</w:t>
            </w:r>
          </w:p>
        </w:tc>
      </w:tr>
      <w:tr>
        <w:tc>
          <w:tcPr>
            <w:tcW w:type="dxa" w:w="2250"/>
          </w:tcPr>
          <w:p>
            <w:r>
              <w:t xml:space="preserve">AEBU (Automotive &amp; Embedded Business Unit)</w:t>
            </w:r>
          </w:p>
        </w:tc>
        <w:tc>
          <w:tcPr>
            <w:tcW w:type="dxa" w:w="2250"/>
          </w:tcPr>
          <w:p>
            <w:r>
              <w:t xml:space="preserve">auto, industrial, embedded</w:t>
            </w:r>
          </w:p>
        </w:tc>
        <w:tc>
          <w:tcPr>
            <w:tcW w:type="dxa" w:w="2250"/>
          </w:tcPr>
          <w:p>
            <w:r>
              <w:t xml:space="preserve">$9,062M</w:t>
            </w:r>
          </w:p>
        </w:tc>
        <w:tc>
          <w:tcPr>
            <w:tcW w:type="dxa" w:w="2250"/>
          </w:tcPr>
          <w:p>
            <w:r>
              <w:t xml:space="preserve">11%</w:t>
            </w:r>
          </w:p>
        </w:tc>
      </w:tr>
      <w:tr>
        <w:tc>
          <w:tcPr>
            <w:tcW w:type="dxa" w:w="2250"/>
          </w:tcPr>
          <w:p>
            <w:r>
              <w:t xml:space="preserve">All other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  <w:tc>
          <w:tcPr>
            <w:tcW w:type="dxa" w:w="2250"/>
          </w:tcPr>
          <w:p>
            <w:r>
              <w:t xml:space="preserve">$18M</w:t>
            </w:r>
          </w:p>
        </w:tc>
        <w:tc>
          <w:tcPr>
            <w:tcW w:type="dxa" w:w="2250"/>
          </w:tcPr>
          <w:p>
            <w:r>
              <w:t xml:space="preserve">~0%</w:t>
            </w:r>
          </w:p>
        </w:tc>
      </w:tr>
    </w:tbl>
    <w:p/>
    <w:p>
      <w:pPr>
        <w:spacing w:after="120"/>
      </w:pPr>
      <w:r>
        <w:t xml:space="preserve">HBM itself is not broken out as its own reportable segment — it sits primarily inside CDBU/CMBU depending on the exact product; the closest company-disclosed cross-segment aggregate is "HBM + high-capacity DIMMs + LP server DRAM" revenue, which reached </w:t>
      </w:r>
      <w:r>
        <w:rPr>
          <w:b/>
          <w:bCs/>
        </w:rPr>
        <w:t xml:space="preserve">$10B in FY25</w:t>
      </w:r>
      <w:r>
        <w:t xml:space="preserve"> (5x the prior year) — roughly </w:t>
      </w:r>
      <w:r>
        <w:rPr>
          <w:b/>
          <w:bCs/>
        </w:rPr>
        <w:t xml:space="preserve">27% of FY25's $37.4B total revenue</w:t>
      </w:r>
      <w:r>
        <w:t xml:space="preserve"> already, before FY26's further acceleration (FY26's own HBM-specific dollar figure was not broken out in the sources retrieved this pass — treat the FY25 $10B/27% figure as the base rate, not the current run-rate, which is certainly higher given Q3/Q4 FY26 guidance commentary).</w:t>
      </w:r>
    </w:p>
    <w:p>
      <w:pPr>
        <w:spacing w:after="120"/>
      </w:pPr>
      <w:r>
        <w:rPr>
          <w:b/>
          <w:bCs/>
        </w:rPr>
        <w:t xml:space="preserve">Principal markets:</w:t>
      </w:r>
      <w:r>
        <w:t xml:space="preserve"> Roughly two-thirds DRAM-product-type, one-third NAND/storage-product-type by the segment table above. Customer base skews toward cloud/hyperscaler and AI-accelerator-platform customers for the fastest-growing (CDBU/CMBU) lines, with mobile OEMs, PC OEMs, and automotive/industrial customers for the balance. Named competitive set: Samsung (DRAM ~38% share, NAND ~29% share, HBM ~17-21% share), SK Hynix (DRAM ~25-29% share, HBM ~58-62% share — the clear HBM share leader), and China's CXMT (a fast-rising DRAM entrant gaining share at the low end, cited by multiple sources as pressuring all three incumbents' legacy-DRAM share in 2026). Micron sits third in DRAM (~22-24%) and HBM (~21%), and has been gaining NAND share (13%→15% Q1→Q2 2026).</w:t>
      </w:r>
    </w:p>
    <w:p>
      <w:pPr>
        <w:spacing w:after="120"/>
      </w:pPr>
      <w:r>
        <w:rPr>
          <w:b/>
          <w:bCs/>
        </w:rPr>
        <w:t xml:space="preserve">TAM:</w:t>
      </w:r>
      <w:r>
        <w:t xml:space="preserve"> Genuinely conflicting figures across sources, stated rather than resolved:</w:t>
      </w:r>
    </w:p>
    <w:p>
      <w:pPr>
        <w:pStyle w:val="ListParagraph"/>
        <w:numPr>
          <w:ilvl w:val="0"/>
          <w:numId w:val="1"/>
        </w:numPr>
      </w:pPr>
      <w:r>
        <w:t xml:space="preserve">Total DRAM+NAND: one estimate at </w:t>
      </w:r>
      <w:r>
        <w:rPr>
          <w:b/>
          <w:bCs/>
        </w:rPr>
        <w:t xml:space="preserve">$207.6B</w:t>
      </w:r>
      <w:r>
        <w:t xml:space="preserve"> (2026); a separate figure states DRAM alone at </w:t>
      </w:r>
      <w:r>
        <w:rPr>
          <w:b/>
          <w:bCs/>
        </w:rPr>
        <w:t xml:space="preserve">$128.4B</w:t>
      </w:r>
      <w:r>
        <w:t xml:space="preserve"> (2026) — the two do not reconcile cleanly against each other, likely different methodologies/years.</w:t>
      </w:r>
    </w:p>
    <w:p>
      <w:pPr>
        <w:pStyle w:val="ListParagraph"/>
        <w:numPr>
          <w:ilvl w:val="0"/>
          <w:numId w:val="1"/>
        </w:numPr>
      </w:pPr>
      <w:r>
        <w:t xml:space="preserve">Broadest "total semiconductor memory" category (includes HBM/other): </w:t>
      </w:r>
      <w:r>
        <w:rPr>
          <w:b/>
          <w:bCs/>
        </w:rPr>
        <w:t xml:space="preserve">$294.8B in 2026</w:t>
      </w:r>
      <w:r>
        <w:t xml:space="preserve"> (+39.4% YoY) per one source; a separate TrendForce-attributed figure of </w:t>
      </w:r>
      <w:r>
        <w:rPr>
          <w:b/>
          <w:bCs/>
        </w:rPr>
        <w:t xml:space="preserve">$551.6B</w:t>
      </w:r>
      <w:r>
        <w:t xml:space="preserve"> appears to use a broader definition and should not be treated as comparable.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Micron's own disclosed figure — the most directly relevant to this thesis — is HBM TAM alone exceeding $100B by 2028</w:t>
      </w:r>
      <w:r>
        <w:t xml:space="preserve"> (pulled forward from a prior 2030 estimate). Against Micron's own $10B FY25 HBM-related revenue and ~21% current HBM share, a $100B 2028 HBM TAM at a constant 21% share implies ~$21B of Micron HBM-specific revenue by 2028 — a large number in isolation, but still a minority of Micron's current </w:t>
      </w:r>
      <w:r>
        <w:rPr>
          <w:b/>
          <w:bCs/>
        </w:rPr>
        <w:t xml:space="preserve">total</w:t>
      </w:r>
      <w:r>
        <w:t xml:space="preserve"> run-rate (Q4 FY26 guide alone is $50B/quarter, $200B annualized), underscoring that legacy DRAM/NAND pricing — not HBM alone — is doing most of the work in the current supercycle.</w:t>
      </w:r>
    </w:p>
    <w:p>
      <w:pPr>
        <w:spacing w:after="120"/>
      </w:pPr>
      <w:r>
        <w:rPr>
          <w:b/>
          <w:bCs/>
        </w:rPr>
        <w:t xml:space="preserve">Given the scale of disagreement across TAM sources, treat any single "penetration %" figure for Micron against total memory TAM as unreliable this pass</w:t>
      </w:r>
      <w:r>
        <w:t xml:space="preserve"> — the underlying segment-share data (22-24% DRAM, 13-15% NAND, 21% HBM) is the more trustworthy anchor.</w:t>
      </w:r>
    </w:p>
    <w:p>
      <w:pPr>
        <w:pStyle w:val="Heading2"/>
      </w:pPr>
      <w:r>
        <w:t xml:space="preserve">2. Routing</w:t>
      </w:r>
    </w:p>
    <w:p>
      <w:pPr>
        <w:spacing w:after="120"/>
      </w:pPr>
      <w:r>
        <w:rPr>
          <w:b/>
          <w:bCs/>
        </w:rPr>
        <w:t xml:space="preserve">Track B — Semiconductors &amp; AI infrastructure — code `B-SM`.</w:t>
      </w:r>
    </w:p>
    <w:p>
      <w:pPr>
        <w:spacing w:after="120"/>
      </w:pPr>
      <w:r>
        <w:t xml:space="preserve">Justification: Micron is a memory-IDM semiconductor manufacturer with a rapidly rising AI/data-center revenue mix (HBM + high-capacity DIMM + LP server DRAM = ~27% of FY25 revenue and rising). Per this agent's own semiconductor-sector rule — "never blend the multiples" between AI/data-center exposure and PC/mobile/auto exposure — Micron is </w:t>
      </w:r>
      <w:r>
        <w:rPr>
          <w:b/>
          <w:bCs/>
        </w:rPr>
        <w:t xml:space="preserve">not</w:t>
      </w:r>
      <w:r>
        <w:t xml:space="preserve"> a pure-play AI semiconductor the way an HBM-only or GPU-only name would be: roughly 30% of revenue (MCBU) is mobile/consumer and 11% (AEBU) is automotive/embedded, both cyclical, non-AI-secular businesses. This is a genuine hybrid: a structurally AI-exposed, still-majority-commodity-memory business, not a clean secular-growth story — the valuation work below treats it as such rather than applying an unqualified AI-infrastructure premium to the whole company.</w:t>
      </w:r>
    </w:p>
    <w:p>
      <w:pPr>
        <w:pStyle w:val="Heading2"/>
      </w:pPr>
      <w:r>
        <w:t xml:space="preserve">3. Categorization (Lynch)</w:t>
      </w:r>
    </w:p>
    <w:p>
      <w:pPr>
        <w:spacing w:after="120"/>
      </w:pPr>
      <w:r>
        <w:rPr>
          <w:b/>
          <w:bCs/>
        </w:rPr>
        <w:t xml:space="preserve">Cyclical.</w:t>
      </w:r>
    </w:p>
    <w:p>
      <w:pPr>
        <w:spacing w:after="120"/>
      </w:pPr>
      <w:r>
        <w:t xml:space="preserve">Justification is unambiguous from the 5-year revenue history alone: FY22 $30.8B → FY23 $15.5B (</w:t>
      </w:r>
      <w:r>
        <w:rPr>
          <w:b/>
          <w:bCs/>
        </w:rPr>
        <w:t xml:space="preserve">-49.5%</w:t>
      </w:r>
      <w:r>
        <w:t xml:space="preserve">) → FY24 $25.1B (+61.6%) → FY25 $37.4B (+48.9%) → FY26E ~$129.0B (+245%+). Net margin over the same span: FY22 +28.2% → FY23 </w:t>
      </w:r>
      <w:r>
        <w:rPr>
          <w:b/>
          <w:bCs/>
        </w:rPr>
        <w:t xml:space="preserve">-37.5%</w:t>
      </w:r>
      <w:r>
        <w:t xml:space="preserve"> → FY24 +3.1% → FY25 +22.8% → TTM +55.9%. This is one of the most extreme boom/bust profiles of any large-cap industrial or tech name — textbook Lynch Cyclical, not Fast Grower, despite a growth rate that would otherwise read as hypergrowth. Lynch's explicit red flag for this category — "buying at peak earnings (high P/E = danger)" — is inverted here: MU's </w:t>
      </w:r>
      <w:r>
        <w:rPr>
          <w:b/>
          <w:bCs/>
        </w:rPr>
        <w:t xml:space="preserve">trailing</w:t>
      </w:r>
      <w:r>
        <w:t xml:space="preserve"> P/E (23.56x) looks *cheap* precisely because trailing earnings are themselves at a cyclical peak; this is the classic cyclical value trap in reverse (a low P/E that is actually a warning sign, not a bargain) and is addressed directly in Section 6.</w:t>
      </w:r>
    </w:p>
    <w:p>
      <w:pPr>
        <w:pStyle w:val="Heading2"/>
      </w:pPr>
      <w:r>
        <w:t xml:space="preserve">4. Earnings Quality (Penman)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Accrual signal:</w:t>
      </w:r>
      <w:r>
        <w:t xml:space="preserve"> TTM net income ($50,469M) is *below* TTM operating cash flow ($51,432M) — a </w:t>
      </w:r>
      <w:r>
        <w:rPr>
          <w:b/>
          <w:bCs/>
        </w:rPr>
        <w:t xml:space="preserve">negative ~-$963M accrual gap</w:t>
      </w:r>
      <w:r>
        <w:t xml:space="preserve">, meaning reported earnings are fully cash-backed and, if anything, slightly conservative relative to cash generation. This is a genuinely high-quality-earnings signal; there is no sign of accrual-based earnings inflation. (Total-assets figure needed for the formal Accrual ratio = (NI−OCF)/Avg. Total Assets was not independently retrieved this pass — the NI-vs-OCF sign and magnitude alone are sufficient to support the qualitative conclusion; the ratio itself is not fabricated here.)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RNOA vs. leverage:</w:t>
      </w:r>
      <w:r>
        <w:t xml:space="preserve"> Debt/Equity is extremely low and falling (0.32 FY23 → 0.28 FY25 → </w:t>
      </w:r>
      <w:r>
        <w:rPr>
          <w:b/>
          <w:bCs/>
        </w:rPr>
        <w:t xml:space="preserve">0.06 TTM</w:t>
      </w:r>
      <w:r>
        <w:t xml:space="preserve">, after a large FY26 debt paydown from $15.4B to $6.4B). ROE's extraordinary TTM level (66.64%, vs. 17.20% FY25 and 1.74% FY24) is therefore </w:t>
      </w:r>
      <w:r>
        <w:rPr>
          <w:b/>
          <w:bCs/>
        </w:rPr>
        <w:t xml:space="preserve">not</w:t>
      </w:r>
      <w:r>
        <w:t xml:space="preserve"> a leverage story — leverage is near a multi-year low even as ROE exploded — the ROE move is being driven almost entirely by the operating margin expansion (RNOA), which is the durable-signal case per Penman, not the transitory-leverage-effect case. This is a genuine positive on earnings-quality grounds, even though the *level* of margin itself is cyclically extreme (see Section 5/6).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Margin trend (actual trailing figures):</w:t>
      </w:r>
      <w:r>
        <w:t xml:space="preserve"> Non-GAAP gross margin 84.9% (Q3 FY26) → guided ~86% (Q4 FY26), up from 39.79% (FY25 full year) and just 2.67% (FY23 full year, the cyclical trough) and 22.35% (FY24). The magnitude of this swing — effectively 2-to-84 points of gross margin across three fiscal years — is the central fact of this entire analysis.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Dilution:</w:t>
      </w:r>
      <w:r>
        <w:t xml:space="preserve"> shares outstanding 1,094M (FY22) → 1,129M (TTM), a cumulative ~3.2% increase over roughly 4 years (~0.8%/yr) — modest, SBC-driven, not a dilutive equity raise. No red flag.</w:t>
      </w:r>
    </w:p>
    <w:p>
      <w:pPr>
        <w:pStyle w:val="Heading2"/>
      </w:pPr>
      <w:r>
        <w:t xml:space="preserve">5. Valuation — DCF (Koller)</w:t>
      </w:r>
    </w:p>
    <w:p>
      <w:pPr>
        <w:pStyle w:val="Heading3"/>
      </w:pPr>
      <w:r>
        <w:t xml:space="preserve">WACC construction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</w:tcPr>
          <w:p>
            <w:r>
              <w:t xml:space="preserve">Input</w:t>
            </w:r>
          </w:p>
        </w:tc>
        <w:tc>
          <w:tcPr>
            <w:tcW w:type="dxa" w:w="3000"/>
            <w:shd w:fill="D9E2F3" w:val="clear"/>
          </w:tcPr>
          <w:p>
            <w:r>
              <w:t xml:space="preserve">Value</w:t>
            </w:r>
          </w:p>
        </w:tc>
        <w:tc>
          <w:tcPr>
            <w:tcW w:type="dxa" w:w="3000"/>
            <w:shd w:fill="D9E2F3" w:val="clear"/>
          </w:tcPr>
          <w:p>
            <w:r>
              <w:t xml:space="preserve">Source/basis</w:t>
            </w:r>
          </w:p>
        </w:tc>
      </w:tr>
      <w:tr>
        <w:tc>
          <w:tcPr>
            <w:tcW w:type="dxa" w:w="3000"/>
          </w:tcPr>
          <w:p>
            <w:r>
              <w:t xml:space="preserve">Risk-free rate (10Y UST)</w:t>
            </w:r>
          </w:p>
        </w:tc>
        <w:tc>
          <w:tcPr>
            <w:tcW w:type="dxa" w:w="3000"/>
          </w:tcPr>
          <w:p>
            <w:r>
              <w:t xml:space="preserve">4.95%</w:t>
            </w:r>
          </w:p>
        </w:tc>
        <w:tc>
          <w:tcPr>
            <w:tcW w:type="dxa" w:w="3000"/>
          </w:tcPr>
          <w:p>
            <w:r>
              <w:t xml:space="preserve">Today's macro report, `data/daily_macro_report/macro_report_2026-09-22.md`</w:t>
            </w:r>
          </w:p>
        </w:tc>
      </w:tr>
      <w:tr>
        <w:tc>
          <w:tcPr>
            <w:tcW w:type="dxa" w:w="3000"/>
          </w:tcPr>
          <w:p>
            <w:r>
              <w:t xml:space="preserve">ERP (Damodaran implied, US)</w:t>
            </w:r>
          </w:p>
        </w:tc>
        <w:tc>
          <w:tcPr>
            <w:tcW w:type="dxa" w:w="3000"/>
          </w:tcPr>
          <w:p>
            <w:r>
              <w:t xml:space="preserve">4.5%</w:t>
            </w:r>
          </w:p>
        </w:tc>
        <w:tc>
          <w:tcPr>
            <w:tcW w:type="dxa" w:w="3000"/>
          </w:tcPr>
          <w:p>
            <w:r>
              <w:t xml:space="preserve">Agent's own current calibration</w:t>
            </w:r>
          </w:p>
        </w:tc>
      </w:tr>
      <w:tr>
        <w:tc>
          <w:tcPr>
            <w:tcW w:type="dxa" w:w="3000"/>
          </w:tcPr>
          <w:p>
            <w:r>
              <w:t xml:space="preserve">Beta (5yr)</w:t>
            </w:r>
          </w:p>
        </w:tc>
        <w:tc>
          <w:tcPr>
            <w:tcW w:type="dxa" w:w="3000"/>
          </w:tcPr>
          <w:p>
            <w:r>
              <w:t xml:space="preserve">~1.92–2.22 across sources (Investing.com 1.92, Finbox 1.92, Yahoo 2.22, GuruFocus 3.13 — the GuruFocus figure is an outlier and excluded); </w:t>
            </w:r>
            <w:r>
              <w:rPr>
                <w:b/>
                <w:bCs/>
              </w:rPr>
              <w:t xml:space="preserve">used: 2.0</w:t>
            </w:r>
          </w:p>
        </w:tc>
        <w:tc>
          <w:tcPr>
            <w:tcW w:type="dxa" w:w="3000"/>
          </w:tcPr>
          <w:p>
            <w:r>
              <w:t xml:space="preserve">Reflects genuinely extreme cyclical volatility, not a data error</w:t>
            </w:r>
          </w:p>
        </w:tc>
      </w:tr>
      <w:tr>
        <w:tc>
          <w:tcPr>
            <w:tcW w:type="dxa" w:w="3000"/>
          </w:tcPr>
          <w:p>
            <w:r>
              <w:t xml:space="preserve">Cost of equity (Re)</w:t>
            </w:r>
          </w:p>
        </w:tc>
        <w:tc>
          <w:tcPr>
            <w:tcW w:type="dxa" w:w="3000"/>
          </w:tcPr>
          <w:p>
            <w:r>
              <w:t xml:space="preserve">4.95% + 2.0×4.5% = </w:t>
            </w:r>
            <w:r>
              <w:rPr>
                <w:b/>
                <w:bCs/>
              </w:rPr>
              <w:t xml:space="preserve">13.95%</w:t>
            </w:r>
          </w:p>
        </w:tc>
        <w:tc>
          <w:tcPr>
            <w:tcW w:type="dxa" w:w="3000"/>
          </w:tcPr>
          <w:p>
            <w:r>
              <w:t xml:space="preserve">CAPM</w:t>
            </w:r>
          </w:p>
        </w:tc>
      </w:tr>
      <w:tr>
        <w:tc>
          <w:tcPr>
            <w:tcW w:type="dxa" w:w="3000"/>
          </w:tcPr>
          <w:p>
            <w:r>
              <w:t xml:space="preserve">Cost of debt (pre-tax)</w:t>
            </w:r>
          </w:p>
        </w:tc>
        <w:tc>
          <w:tcPr>
            <w:tcW w:type="dxa" w:w="3000"/>
          </w:tcPr>
          <w:p>
            <w:r>
              <w:t xml:space="preserve">~4.5% (blended across notes at 2.703%–6.050%)</w:t>
            </w:r>
          </w:p>
        </w:tc>
        <w:tc>
          <w:tcPr>
            <w:tcW w:type="dxa" w:w="3000"/>
          </w:tcPr>
          <w:p>
            <w:r>
              <w:t xml:space="preserve">10-Q note disclosures</w:t>
            </w:r>
          </w:p>
        </w:tc>
      </w:tr>
      <w:tr>
        <w:tc>
          <w:tcPr>
            <w:tcW w:type="dxa" w:w="3000"/>
          </w:tcPr>
          <w:p>
            <w:r>
              <w:t xml:space="preserve">Tax rate</w:t>
            </w:r>
          </w:p>
        </w:tc>
        <w:tc>
          <w:tcPr>
            <w:tcW w:type="dxa" w:w="3000"/>
          </w:tcPr>
          <w:p>
            <w:r>
              <w:t xml:space="preserve">15.5% (FY26 guided effective rate)</w:t>
            </w:r>
          </w:p>
        </w:tc>
        <w:tc>
          <w:tcPr>
            <w:tcW w:type="dxa" w:w="3000"/>
          </w:tcPr>
          <w:p>
            <w:r>
              <w:t xml:space="preserve">Company guidance</w:t>
            </w:r>
          </w:p>
        </w:tc>
      </w:tr>
      <w:tr>
        <w:tc>
          <w:tcPr>
            <w:tcW w:type="dxa" w:w="3000"/>
          </w:tcPr>
          <w:p>
            <w:r>
              <w:t xml:space="preserve">Cost of debt (after-tax)</w:t>
            </w:r>
          </w:p>
        </w:tc>
        <w:tc>
          <w:tcPr>
            <w:tcW w:type="dxa" w:w="3000"/>
          </w:tcPr>
          <w:p>
            <w:r>
              <w:t xml:space="preserve">3.80%</w:t>
            </w:r>
          </w:p>
        </w:tc>
        <w:tc>
          <w:tcPr>
            <w:tcW w:type="dxa" w:w="3000"/>
          </w:tcPr>
          <w:p/>
        </w:tc>
      </w:tr>
      <w:tr>
        <w:tc>
          <w:tcPr>
            <w:tcW w:type="dxa" w:w="3000"/>
          </w:tcPr>
          <w:p>
            <w:r>
              <w:t xml:space="preserve">E/V, D/V weights</w:t>
            </w:r>
          </w:p>
        </w:tc>
        <w:tc>
          <w:tcPr>
            <w:tcW w:type="dxa" w:w="3000"/>
          </w:tcPr>
          <w:p>
            <w:r>
              <w:t xml:space="preserve">E/V 99.46%, D/V 0.54% (market cap $1,178.6B vs. debt $6.4B)</w:t>
            </w:r>
          </w:p>
        </w:tc>
        <w:tc>
          <w:tcPr>
            <w:tcW w:type="dxa" w:w="3000"/>
          </w:tcPr>
          <w:p>
            <w:r>
              <w:t xml:space="preserve">Market-value weights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WACC</w:t>
            </w:r>
          </w:p>
        </w:tc>
        <w:tc>
          <w:tcPr>
            <w:tcW w:type="dxa" w:w="3000"/>
          </w:tcPr>
          <w:p>
            <w:r>
              <w:rPr>
                <w:b/>
                <w:bCs/>
              </w:rPr>
              <w:t xml:space="preserve">≈ 13.9%</w:t>
            </w:r>
          </w:p>
        </w:tc>
        <w:tc>
          <w:tcPr>
            <w:tcW w:type="dxa" w:w="3000"/>
          </w:tcPr>
          <w:p/>
        </w:tc>
      </w:tr>
    </w:tbl>
    <w:p/>
    <w:p>
      <w:pPr>
        <w:spacing w:after="120"/>
      </w:pPr>
      <w:r>
        <w:rPr>
          <w:b/>
          <w:bCs/>
        </w:rPr>
        <w:t xml:space="preserve">Flag (explicitly, per Framework 4):</w:t>
      </w:r>
      <w:r>
        <w:t xml:space="preserve"> this WACC sits well *above* the agent's own "typical 8.5–11%" US-company range — but the direction of the flag is the opposite of the framework's usual warning. The framework flags WACC *below* 7% as a red flag for stale/understated risk-free-rate inputs; a WACC of 13.9% is not an input error, it is the correct mechanical output of a genuinely elevated beta (~2.0) for a company whose earnings have swung from -37.5% to +55.9% net margin inside three years. Using a "typical" 9-10% WACC here would understate Micron's true cost of capital and mechanically overstate intrinsic value — the high WACC is the model doing its job, not a data problem.</w:t>
      </w:r>
    </w:p>
    <w:p>
      <w:pPr>
        <w:pStyle w:val="Heading3"/>
      </w:pPr>
      <w:r>
        <w:t xml:space="preserve">Bear / Base / Bull scenarios (7-year explicit forecast, FY27–FY33; CAP justification in Section 6)</w:t>
      </w:r>
    </w:p>
    <w:p>
      <w:pPr>
        <w:spacing w:after="120"/>
      </w:pPr>
      <w:r>
        <w:t xml:space="preserve">All three scenarios use the same WACC (13.9%) and terminal growth (g = 2.5%); only revenue growth, NOPLAT margin, and ROIC differ, per Benninga scenario-toggle discipline. FY26E base = $129.0B (pending Sept 30 confirmation). Reinvestment modeled as growth/ROIC with a maintenance-capex floor (see note below the table) to avoid a formula artifact in the Bear case's revenue-contraction year.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val="clear"/>
          </w:tcPr>
          <w:p/>
        </w:tc>
        <w:tc>
          <w:tcPr>
            <w:tcW w:type="dxa" w:w="2250"/>
            <w:shd w:fill="D9E2F3" w:val="clear"/>
          </w:tcPr>
          <w:p>
            <w:r>
              <w:t xml:space="preserve">Bear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Base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Bull</w:t>
            </w:r>
          </w:p>
        </w:tc>
      </w:tr>
      <w:tr>
        <w:tc>
          <w:tcPr>
            <w:tcW w:type="dxa" w:w="2250"/>
          </w:tcPr>
          <w:p>
            <w:r>
              <w:t xml:space="preserve">FY27 revenue growth</w:t>
            </w:r>
          </w:p>
        </w:tc>
        <w:tc>
          <w:tcPr>
            <w:tcW w:type="dxa" w:w="2250"/>
          </w:tcPr>
          <w:p>
            <w:r>
              <w:t xml:space="preserve">-30% (cyclical correction, precedent: FY22-&gt;23 was -49%)</w:t>
            </w:r>
          </w:p>
        </w:tc>
        <w:tc>
          <w:tcPr>
            <w:tcW w:type="dxa" w:w="2250"/>
          </w:tcPr>
          <w:p>
            <w:r>
              <w:t xml:space="preserve">+15%</w:t>
            </w:r>
          </w:p>
        </w:tc>
        <w:tc>
          <w:tcPr>
            <w:tcW w:type="dxa" w:w="2250"/>
          </w:tcPr>
          <w:p>
            <w:r>
              <w:t xml:space="preserve">+30%</w:t>
            </w:r>
          </w:p>
        </w:tc>
      </w:tr>
      <w:tr>
        <w:tc>
          <w:tcPr>
            <w:tcW w:type="dxa" w:w="2250"/>
          </w:tcPr>
          <w:p>
            <w:r>
              <w:t xml:space="preserve">Revenue path shape</w:t>
            </w:r>
          </w:p>
        </w:tc>
        <w:tc>
          <w:tcPr>
            <w:tcW w:type="dxa" w:w="2250"/>
          </w:tcPr>
          <w:p>
            <w:r>
              <w:t xml:space="preserve">Sharp correction, choppy recovery to ~$122B by FY33</w:t>
            </w:r>
          </w:p>
        </w:tc>
        <w:tc>
          <w:tcPr>
            <w:tcW w:type="dxa" w:w="2250"/>
          </w:tcPr>
          <w:p>
            <w:r>
              <w:t xml:space="preserve">Moderate deceleration, one mid-cycle -10% dip (FY29), reaching ~$198B by FY33</w:t>
            </w:r>
          </w:p>
        </w:tc>
        <w:tc>
          <w:tcPr>
            <w:tcW w:type="dxa" w:w="2250"/>
          </w:tcPr>
          <w:p>
            <w:r>
              <w:t xml:space="preserve">Sustained ramp, shallow dip, reaching ~$344B by FY33</w:t>
            </w:r>
          </w:p>
        </w:tc>
      </w:tr>
      <w:tr>
        <w:tc>
          <w:tcPr>
            <w:tcW w:type="dxa" w:w="2250"/>
          </w:tcPr>
          <w:p>
            <w:r>
              <w:t xml:space="preserve">NOPLAT margin path</w:t>
            </w:r>
          </w:p>
        </w:tc>
        <w:tc>
          <w:tcPr>
            <w:tcW w:type="dxa" w:w="2250"/>
          </w:tcPr>
          <w:p>
            <w:r>
              <w:t xml:space="preserve">Fades from ~45% to a 20% terminal (below FY25's 39.8% GM-equivalent)</w:t>
            </w:r>
          </w:p>
        </w:tc>
        <w:tc>
          <w:tcPr>
            <w:tcW w:type="dxa" w:w="2250"/>
          </w:tcPr>
          <w:p>
            <w:r>
              <w:t xml:space="preserve">Fades from ~50% to a 35% terminal (structurally above pre-AI-cycle history)</w:t>
            </w:r>
          </w:p>
        </w:tc>
        <w:tc>
          <w:tcPr>
            <w:tcW w:type="dxa" w:w="2250"/>
          </w:tcPr>
          <w:p>
            <w:r>
              <w:t xml:space="preserve">Sustains a 40% terminal margin</w:t>
            </w:r>
          </w:p>
        </w:tc>
      </w:tr>
      <w:tr>
        <w:tc>
          <w:tcPr>
            <w:tcW w:type="dxa" w:w="2250"/>
          </w:tcPr>
          <w:p>
            <w:r>
              <w:t xml:space="preserve">ROIC (reinvestment basis)</w:t>
            </w:r>
          </w:p>
        </w:tc>
        <w:tc>
          <w:tcPr>
            <w:tcW w:type="dxa" w:w="2250"/>
          </w:tcPr>
          <w:p>
            <w:r>
              <w:t xml:space="preserve">WACC - 1% = 12.9%</w:t>
            </w:r>
          </w:p>
        </w:tc>
        <w:tc>
          <w:tcPr>
            <w:tcW w:type="dxa" w:w="2250"/>
          </w:tcPr>
          <w:p>
            <w:r>
              <w:t xml:space="preserve">Sector average ~16%</w:t>
            </w:r>
          </w:p>
        </w:tc>
        <w:tc>
          <w:tcPr>
            <w:tcW w:type="dxa" w:w="2250"/>
          </w:tcPr>
          <w:p>
            <w:r>
              <w:t xml:space="preserve">WACC + 3% = 16.9%</w:t>
            </w:r>
          </w:p>
        </w:tc>
      </w:tr>
      <w:tr>
        <w:tc>
          <w:tcPr>
            <w:tcW w:type="dxa" w:w="2250"/>
          </w:tcPr>
          <w:p>
            <w:r>
              <w:t xml:space="preserve">Per-share intrinsic value</w:t>
            </w:r>
          </w:p>
        </w:tc>
        <w:tc>
          <w:tcPr>
            <w:tcW w:type="dxa" w:w="2250"/>
          </w:tcPr>
          <w:p>
            <w:r>
              <w:t xml:space="preserve">$145.5</w:t>
            </w:r>
          </w:p>
        </w:tc>
        <w:tc>
          <w:tcPr>
            <w:tcW w:type="dxa" w:w="2250"/>
          </w:tcPr>
          <w:p>
            <w:r>
              <w:t xml:space="preserve">$305.4</w:t>
            </w:r>
          </w:p>
        </w:tc>
        <w:tc>
          <w:tcPr>
            <w:tcW w:type="dxa" w:w="2250"/>
          </w:tcPr>
          <w:p>
            <w:r>
              <w:t xml:space="preserve">$409.3</w:t>
            </w:r>
          </w:p>
        </w:tc>
      </w:tr>
      <w:tr>
        <w:tc>
          <w:tcPr>
            <w:tcW w:type="dxa" w:w="2250"/>
          </w:tcPr>
          <w:p>
            <w:r>
              <w:t xml:space="preserve">Terminal value as % of EV</w:t>
            </w:r>
          </w:p>
        </w:tc>
        <w:tc>
          <w:tcPr>
            <w:tcW w:type="dxa" w:w="2250"/>
          </w:tcPr>
          <w:p>
            <w:r>
              <w:t xml:space="preserve">49.1%</w:t>
            </w:r>
          </w:p>
        </w:tc>
        <w:tc>
          <w:tcPr>
            <w:tcW w:type="dxa" w:w="2250"/>
          </w:tcPr>
          <w:p>
            <w:r>
              <w:t xml:space="preserve">65.0%</w:t>
            </w:r>
          </w:p>
        </w:tc>
        <w:tc>
          <w:tcPr>
            <w:tcW w:type="dxa" w:w="2250"/>
          </w:tcPr>
          <w:p>
            <w:r>
              <w:t xml:space="preserve">95.9%</w:t>
            </w:r>
          </w:p>
        </w:tc>
      </w:tr>
    </w:tbl>
    <w:p/>
    <w:p>
      <w:pPr>
        <w:spacing w:after="200"/>
      </w:pPr>
      <w:r>
        <w:rPr>
          <w:i/>
          <w:iCs/>
        </w:rPr>
        <w:t xml:space="preserve">Maintenance-capex floor note: a literal growth/ROIC reinvestment formula produces negative reinvestment (implied capital harvesting) in the Bear case's -30% revenue year, which is not realistic for a multi-year fab-construction business with committed capex — reinvestment in any down-revenue year is floored at half of a 15%-of-revenue maintenance-capex proxy. This is a modeling judgment, stated explicitly per Benninga discipline rather than left as a silent formula artifact.</w:t>
      </w:r>
    </w:p>
    <w:p>
      <w:pPr>
        <w:spacing w:after="120"/>
      </w:pPr>
      <w:r>
        <w:rPr>
          <w:b/>
          <w:bCs/>
        </w:rPr>
        <w:t xml:space="preserve">MoS Gate: NONE.</w:t>
      </w:r>
      <w:r>
        <w:t xml:space="preserve"> Current price ($1,043.96) is </w:t>
      </w:r>
      <w:r>
        <w:rPr>
          <w:b/>
          <w:bCs/>
        </w:rPr>
        <w:t xml:space="preserve">above the Bull case ($409.3)</w:t>
      </w:r>
      <w:r>
        <w:t xml:space="preserve"> — not just above Base, above the single most optimistic mechanically-defensible scenario run here. Per the framework's own rule: *"Price above the Bull case DCF value = priced for perfection — flag regardless of business quality; there is no scenario left in which the thesis is right and the stock still has room to work."* This is the single most important number in this report.</w:t>
      </w:r>
    </w:p>
    <w:p>
      <w:pPr>
        <w:pStyle w:val="Heading2"/>
      </w:pPr>
      <w:r>
        <w:t xml:space="preserve">6. Mauboussin — Price-Implied Expectations</w:t>
      </w:r>
    </w:p>
    <w:p>
      <w:pPr>
        <w:spacing w:after="120"/>
      </w:pPr>
      <w:r>
        <w:rPr>
          <w:b/>
          <w:bCs/>
        </w:rPr>
        <w:t xml:space="preserve">What the current price requires, reverse-engineered:</w:t>
      </w:r>
      <w:r>
        <w:t xml:space="preserve"> at WACC 13.9% and g = 2.5% (single-stage Gordon-growth cross-check on the $1,159.0B EV), the price requires a </w:t>
      </w:r>
      <w:r>
        <w:rPr>
          <w:b/>
          <w:bCs/>
        </w:rPr>
        <w:t xml:space="preserve">sustained, perpetual NOPLAT of ~$132.1B</w:t>
      </w:r>
      <w:r>
        <w:t xml:space="preserve">. For context:</w:t>
      </w:r>
    </w:p>
    <w:p>
      <w:pPr>
        <w:pStyle w:val="ListParagraph"/>
        <w:numPr>
          <w:ilvl w:val="0"/>
          <w:numId w:val="1"/>
        </w:numPr>
      </w:pPr>
      <w:r>
        <w:t xml:space="preserve">TTM actual NOPLAT (net-income proxy): </w:t>
      </w:r>
      <w:r>
        <w:rPr>
          <w:b/>
          <w:bCs/>
        </w:rPr>
        <w:t xml:space="preserve">$50.5B</w:t>
      </w:r>
      <w:r>
        <w:t xml:space="preserve"> — the price requires </w:t>
      </w:r>
      <w:r>
        <w:rPr>
          <w:b/>
          <w:bCs/>
        </w:rPr>
        <w:t xml:space="preserve">2.6x</w:t>
      </w:r>
      <w:r>
        <w:t xml:space="preserve"> this, forever, with no cyclical reversion.</w:t>
      </w:r>
    </w:p>
    <w:p>
      <w:pPr>
        <w:pStyle w:val="ListParagraph"/>
        <w:numPr>
          <w:ilvl w:val="0"/>
          <w:numId w:val="1"/>
        </w:numPr>
      </w:pPr>
      <w:r>
        <w:t xml:space="preserve">Q4 FY26's guided quarter, annualized (i.e., treating the single best quarter Micron has ever guided — $50B revenue at ~86% GM / ~82.7% implied operating margin — as the new permanent run-rate): </w:t>
      </w:r>
      <w:r>
        <w:rPr>
          <w:b/>
          <w:bCs/>
        </w:rPr>
        <w:t xml:space="preserve">~$165.4B</w:t>
      </w:r>
      <w:r>
        <w:t xml:space="preserve"> NOPLAT. The price-implied requirement (~$132B) is </w:t>
      </w:r>
      <w:r>
        <w:rPr>
          <w:b/>
          <w:bCs/>
        </w:rPr>
        <w:t xml:space="preserve">~80%</w:t>
      </w:r>
      <w:r>
        <w:t xml:space="preserve"> of this best-ever-quarter-annualized figure.</w:t>
      </w:r>
    </w:p>
    <w:p>
      <w:pPr>
        <w:spacing w:after="120"/>
      </w:pPr>
      <w:r>
        <w:rPr>
          <w:b/>
          <w:bCs/>
        </w:rPr>
        <w:t xml:space="preserve">In plain terms: the current price is only consistent with a world in which something close to Micron's single best quarter in company history becomes the sustainable, non-cyclical, permanent baseline — forever.</w:t>
      </w:r>
      <w:r>
        <w:t xml:space="preserve"> That is a genuinely different claim from "the AI/HBM growth story is real" (which this report agrees with) — it requires the *cyclical* character of the memory industry, which has defined Micron's entire public history (including a -49.5% revenue collapse just three years ago, FY22-&gt;FY23), to have permanently ended.</w:t>
      </w:r>
    </w:p>
    <w:p>
      <w:pPr>
        <w:spacing w:after="120"/>
      </w:pPr>
      <w:r>
        <w:rPr>
          <w:b/>
          <w:bCs/>
        </w:rPr>
        <w:t xml:space="preserve">Sensitivity to beta:</w:t>
      </w:r>
      <w:r>
        <w:t xml:space="preserve"> at a lower beta of 1.5 (still above the market, but toward the low end of the cited 1.92-2.22 range), WACC falls to 11.66% and the perpetual-NOPLAT requirement falls to ~$106.1B — still 2.1x TTM NOPLAT. At the high end (beta 2.22), the requirement rises to ~$143.5B (2.8x TTM). The conclusion is not beta-fragile: across the plausible beta range, the price requires 2-3x sustained, permanent NOPLAT expansion from today's already-historic level.</w:t>
      </w:r>
    </w:p>
    <w:p>
      <w:pPr>
        <w:spacing w:after="120"/>
      </w:pPr>
      <w:r>
        <w:rPr>
          <w:b/>
          <w:bCs/>
        </w:rPr>
        <w:t xml:space="preserve">Moat type and Competitive Advantage Period:</w:t>
      </w:r>
      <w:r>
        <w:t xml:space="preserve"> Micron's moat is primarily </w:t>
      </w:r>
      <w:r>
        <w:rPr>
          <w:b/>
          <w:bCs/>
        </w:rPr>
        <w:t xml:space="preserve">Cost advantage / scale</w:t>
      </w:r>
      <w:r>
        <w:t xml:space="preserve"> (moat type 3 — an oligopoly of three DRAM/HBM producers with enormous fixed capital requirements deters new entry, aside from state-backed China's CXMT) with a </w:t>
      </w:r>
      <w:r>
        <w:rPr>
          <w:b/>
          <w:bCs/>
        </w:rPr>
        <w:t xml:space="preserve">partial, earned switching-cost element</w:t>
      </w:r>
      <w:r>
        <w:t xml:space="preserve"> (moat type 2) specifically in HBM, where multi-generation qualification with hyperscale/AI-accelerator customers creates real (if customer-concentrated) stickiness. Types 3 alone would suggest a narrow-to-moderate CAP (3-7 years); the HBM-qualification layer extends this somewhat. </w:t>
      </w:r>
      <w:r>
        <w:rPr>
          <w:b/>
          <w:bCs/>
        </w:rPr>
        <w:t xml:space="preserve">CAP used: 7 years</w:t>
      </w:r>
      <w:r>
        <w:t xml:space="preserve"> (the upper end of "narrow moat," not "wide moat" — types 1/2 in combination with a genuine switching-cost component, but memory itself remains substantially a commodity outside the HBM sub-segment, and CXMT's rise is a live threat to the DRAM/NAND legacy base this moat doesn't fully protect).</w:t>
      </w:r>
    </w:p>
    <w:p>
      <w:pPr>
        <w:pStyle w:val="Heading2"/>
      </w:pPr>
      <w:r>
        <w:t xml:space="preserve">7. Fisher — Qualitative Checklist (points the data actually speaks to)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#5/#6 (margins, worthwhile &amp; improving):</w:t>
      </w:r>
      <w:r>
        <w:t xml:space="preserve"> Unambiguously yes on direction and magnitude — but the improvement is the definitionally cyclical kind Fisher's framework was not built to evaluate at face value; see Sections 5-6.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#11 (competitive edge):</w:t>
      </w:r>
      <w:r>
        <w:t xml:space="preserve"> Real and improving — HBM qualification cycles with major AI-accelerator platforms are a genuine, earned technical edge (not just capacity), evidenced by Micron's #2 HBM share position (21%, behind SK Hynix's 58-62%) and NAND share gains (13%-&gt;15% in one quarter). Not dominant, but credible and strengthening.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#13 (dilution financing):</w:t>
      </w:r>
      <w:r>
        <w:t xml:space="preserve"> No — growth has been self-funded via operating cash flow and debt paydown, not dilutive equity issuance (Section 4). Positive.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#15 (management integrity/disclosure):</w:t>
      </w:r>
      <w:r>
        <w:t xml:space="preserve"> No red flags found this pass. CEO's stock sales follow a disclosed Rule 10b5-1 pre-planned schedule (a materially weaker signal than discretionary selling), and guidance has been beaten, not missed, in every recent quarter cited. Management ownership % was not independently confirmed this pass — not fabricated, simply unavailable.</w:t>
      </w:r>
    </w:p>
    <w:p>
      <w:pPr>
        <w:pStyle w:val="Heading2"/>
      </w:pPr>
      <w:r>
        <w:t xml:space="preserve">8. Ilmanen — Factor Read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Value:</w:t>
      </w:r>
      <w:r>
        <w:t xml:space="preserve"> </w:t>
      </w:r>
      <w:r>
        <w:rPr>
          <w:b/>
          <w:bCs/>
        </w:rPr>
        <w:t xml:space="preserve">Absent, arguably negative.</w:t>
      </w:r>
      <w:r>
        <w:t xml:space="preserve"> Trailing P/E (23.56x) looks moderate only because trailing earnings are cyclically inflated — P/S (13.08x, vs. a 5-year range of 2.06x-4.93x) and P/B (11.70x, vs. a 5-year range of 1.27x-2.52x) show the true scale of the re-rating. This is not a value name today by any lens except a misleading one.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Quality/Profitability:</w:t>
      </w:r>
      <w:r>
        <w:t xml:space="preserve"> </w:t>
      </w:r>
      <w:r>
        <w:rPr>
          <w:b/>
          <w:bCs/>
        </w:rPr>
        <w:t xml:space="preserve">Mixed — present on the balance sheet, cyclical on the income statement.</w:t>
      </w:r>
      <w:r>
        <w:t xml:space="preserve"> Leverage is at a multi-year low (D/E 0.06) and earnings quality is genuinely clean (Section 4). But the profitability *level* driving today's ROE (66.6%) is not a steady-state quality signal — it is the cyclical peak itself.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Momentum:</w:t>
      </w:r>
      <w:r>
        <w:t xml:space="preserve"> </w:t>
      </w:r>
      <w:r>
        <w:rPr>
          <w:b/>
          <w:bCs/>
        </w:rPr>
        <w:t xml:space="preserve">Present, strongly.</w:t>
      </w:r>
      <w:r>
        <w:t xml:space="preserve"> Stock has gone from a 5-year P/B floor near 1.27x to a market cap north of $1.1T; 12-month momentum is exceptional even after the Sept 14 semiconductor-selloff drawdown.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Low Beta/Defensive:</w:t>
      </w:r>
      <w:r>
        <w:t xml:space="preserve"> </w:t>
      </w:r>
      <w:r>
        <w:rPr>
          <w:b/>
          <w:bCs/>
        </w:rPr>
        <w:t xml:space="preserve">Absent — the opposite.</w:t>
      </w:r>
      <w:r>
        <w:t xml:space="preserve"> Beta ~1.9-2.2 is among the highest of any large-cap name; this is a high-volatility, not defensive, holding by any measure.</w:t>
      </w:r>
    </w:p>
    <w:p>
      <w:pPr>
        <w:spacing w:after="120"/>
      </w:pPr>
      <w:r>
        <w:rPr>
          <w:b/>
          <w:bCs/>
        </w:rPr>
        <w:t xml:space="preserve">Combined signal:</w:t>
      </w:r>
      <w:r>
        <w:t xml:space="preserve"> this is a </w:t>
      </w:r>
      <w:r>
        <w:rPr>
          <w:b/>
          <w:bCs/>
        </w:rPr>
        <w:t xml:space="preserve">momentum-only</w:t>
      </w:r>
      <w:r>
        <w:t xml:space="preserve"> factor bet (with a genuine but income-statement-obscured balance-sheet-quality undertone), explicitly *not* the cheap+quality+momentum overlap Ilmanen's framework identifies as the most durable outperformance pattern. A single-factor momentum bet carries materially higher risk than an overlapping-tailwind setup, per the framework's own combined-signal guidance.</w:t>
      </w:r>
    </w:p>
    <w:p>
      <w:pPr>
        <w:pStyle w:val="Heading2"/>
      </w:pPr>
      <w:r>
        <w:t xml:space="preserve">9. Quality Compounder Screen (Framework 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val="clear"/>
          </w:tcPr>
          <w:p>
            <w:r>
              <w:t xml:space="preserve">Criterion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Threshold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MU actual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Verdict</w:t>
            </w:r>
          </w:p>
        </w:tc>
      </w:tr>
      <w:tr>
        <w:tc>
          <w:tcPr>
            <w:tcW w:type="dxa" w:w="2250"/>
          </w:tcPr>
          <w:p>
            <w:r>
              <w:t xml:space="preserve">ROIC 5-yr average</w:t>
            </w:r>
          </w:p>
        </w:tc>
        <w:tc>
          <w:tcPr>
            <w:tcW w:type="dxa" w:w="2250"/>
          </w:tcPr>
          <w:p>
            <w:r>
              <w:t xml:space="preserve">&gt;15% pass / &lt;10% flag</w:t>
            </w:r>
          </w:p>
        </w:tc>
        <w:tc>
          <w:tcPr>
            <w:tcW w:type="dxa" w:w="2250"/>
          </w:tcPr>
          <w:p>
            <w:r>
              <w:t xml:space="preserve">ROE-proxy 5-yr avg (FY21-25): (14.1+18.5-12.4+1.7+17.2)/5 = 7.8% - dragged down by the FY23 trough</w:t>
            </w:r>
          </w:p>
        </w:tc>
        <w:tc>
          <w:tcPr>
            <w:tcW w:type="dxa" w:w="2250"/>
          </w:tcPr>
          <w:p>
            <w:r>
              <w:t xml:space="preserve">FLAG</w:t>
            </w:r>
          </w:p>
        </w:tc>
      </w:tr>
      <w:tr>
        <w:tc>
          <w:tcPr>
            <w:tcW w:type="dxa" w:w="2250"/>
          </w:tcPr>
          <w:p>
            <w:r>
              <w:t xml:space="preserve">ROIC trend</w:t>
            </w:r>
          </w:p>
        </w:tc>
        <w:tc>
          <w:tcPr>
            <w:tcW w:type="dxa" w:w="2250"/>
          </w:tcPr>
          <w:p>
            <w:r>
              <w:t xml:space="preserve">Stable/improving pass / declining 2+yr flag</w:t>
            </w:r>
          </w:p>
        </w:tc>
        <w:tc>
          <w:tcPr>
            <w:tcW w:type="dxa" w:w="2250"/>
          </w:tcPr>
          <w:p>
            <w:r>
              <w:t xml:space="preserve">FY24-&gt;FY25-&gt;TTM: 1.74%-&gt;17.20%-&gt;66.64% ROE - clearly, sharply improving</w:t>
            </w:r>
          </w:p>
        </w:tc>
        <w:tc>
          <w:tcPr>
            <w:tcW w:type="dxa" w:w="2250"/>
          </w:tcPr>
          <w:p>
            <w: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t xml:space="preserve">Operating margin</w:t>
            </w:r>
          </w:p>
        </w:tc>
        <w:tc>
          <w:tcPr>
            <w:tcW w:type="dxa" w:w="2250"/>
          </w:tcPr>
          <w:p>
            <w:r>
              <w:t xml:space="preserve">&gt;15% pass / &lt;10% flag</w:t>
            </w:r>
          </w:p>
        </w:tc>
        <w:tc>
          <w:tcPr>
            <w:tcW w:type="dxa" w:w="2250"/>
          </w:tcPr>
          <w:p>
            <w:r>
              <w:t xml:space="preserve">TTM operating margin ~74-83% (Q4 FY26 guide implies ~82.7%)</w:t>
            </w:r>
          </w:p>
        </w:tc>
        <w:tc>
          <w:tcPr>
            <w:tcW w:type="dxa" w:w="2250"/>
          </w:tcPr>
          <w:p>
            <w:r>
              <w:t xml:space="preserve">PASS (cyclically elevated, see caveats)</w:t>
            </w:r>
          </w:p>
        </w:tc>
      </w:tr>
      <w:tr>
        <w:tc>
          <w:tcPr>
            <w:tcW w:type="dxa" w:w="2250"/>
          </w:tcPr>
          <w:p>
            <w:r>
              <w:t xml:space="preserve">FCF conversion (FCF/NI)</w:t>
            </w:r>
          </w:p>
        </w:tc>
        <w:tc>
          <w:tcPr>
            <w:tcW w:type="dxa" w:w="2250"/>
          </w:tcPr>
          <w:p>
            <w:r>
              <w:t xml:space="preserve">&gt;80% pass / &lt;60% flag</w:t>
            </w:r>
          </w:p>
        </w:tc>
        <w:tc>
          <w:tcPr>
            <w:tcW w:type="dxa" w:w="2250"/>
          </w:tcPr>
          <w:p>
            <w:r>
              <w:t xml:space="preserve">TTM FCF $7.64B / TTM NI $50.47B = 15.1% - nearly all cash reinvested into capex</w:t>
            </w:r>
          </w:p>
        </w:tc>
        <w:tc>
          <w:tcPr>
            <w:tcW w:type="dxa" w:w="2250"/>
          </w:tcPr>
          <w:p>
            <w:r>
              <w:t xml:space="preserve">FLAG</w:t>
            </w:r>
          </w:p>
        </w:tc>
      </w:tr>
      <w:tr>
        <w:tc>
          <w:tcPr>
            <w:tcW w:type="dxa" w:w="2250"/>
          </w:tcPr>
          <w:p>
            <w:r>
              <w:t xml:space="preserve">CapEx intensity (CapEx/Revenue)</w:t>
            </w:r>
          </w:p>
        </w:tc>
        <w:tc>
          <w:tcPr>
            <w:tcW w:type="dxa" w:w="2250"/>
          </w:tcPr>
          <w:p>
            <w:r>
              <w:t xml:space="preserve">&lt;10% pass / &gt;20% flag</w:t>
            </w:r>
          </w:p>
        </w:tc>
        <w:tc>
          <w:tcPr>
            <w:tcW w:type="dxa" w:w="2250"/>
          </w:tcPr>
          <w:p>
            <w:r>
              <w:t xml:space="preserve">FY25 actual: $13.80B/$37.38B = 36.9%. FY26 guide: &gt;$25B/~$129B ~19-20%. Conflicts with ~$43.8B implied TTM capex from the OCF-FCF gap - discrepancy not reconciled, flagged not resolved</w:t>
            </w:r>
          </w:p>
        </w:tc>
        <w:tc>
          <w:tcPr>
            <w:tcW w:type="dxa" w:w="2250"/>
          </w:tcPr>
          <w:p>
            <w:r>
              <w:t xml:space="preserve">FLAG (borderline on guided figure, clear flag on implied-actual; FY27 capex guided higher still)</w:t>
            </w:r>
          </w:p>
        </w:tc>
      </w:tr>
      <w:tr>
        <w:tc>
          <w:tcPr>
            <w:tcW w:type="dxa" w:w="2250"/>
          </w:tcPr>
          <w:p>
            <w:r>
              <w:t xml:space="preserve">Revenue growth self-funded</w:t>
            </w:r>
          </w:p>
        </w:tc>
        <w:tc>
          <w:tcPr>
            <w:tcW w:type="dxa" w:w="2250"/>
          </w:tcPr>
          <w:p>
            <w:r>
              <w:t xml:space="preserve">No dilutive equity pass</w:t>
            </w:r>
          </w:p>
        </w:tc>
        <w:tc>
          <w:tcPr>
            <w:tcW w:type="dxa" w:w="2250"/>
          </w:tcPr>
          <w:p>
            <w:r>
              <w:t xml:space="preserve">Confirmed - self-funded via OCF + debt paydown, ~0.8%/yr share growth (SBC-driven)</w:t>
            </w:r>
          </w:p>
        </w:tc>
        <w:tc>
          <w:tcPr>
            <w:tcW w:type="dxa" w:w="2250"/>
          </w:tcPr>
          <w:p>
            <w:r>
              <w:t xml:space="preserve">PASS</w:t>
            </w:r>
          </w:p>
        </w:tc>
      </w:tr>
      <w:tr>
        <w:tc>
          <w:tcPr>
            <w:tcW w:type="dxa" w:w="2250"/>
          </w:tcPr>
          <w:p>
            <w:r>
              <w:t xml:space="preserve">Management equity ownership</w:t>
            </w:r>
          </w:p>
        </w:tc>
        <w:tc>
          <w:tcPr>
            <w:tcW w:type="dxa" w:w="2250"/>
          </w:tcPr>
          <w:p>
            <w:r>
              <w:t xml:space="preserve">&gt;0.5% professional CEO pass</w:t>
            </w:r>
          </w:p>
        </w:tc>
        <w:tc>
          <w:tcPr>
            <w:tcW w:type="dxa" w:w="2250"/>
          </w:tcPr>
          <w:p>
            <w:r>
              <w:t xml:space="preserve">Not independently confirmed this pass</w:t>
            </w:r>
          </w:p>
        </w:tc>
        <w:tc>
          <w:tcPr>
            <w:tcW w:type="dxa" w:w="2250"/>
          </w:tcPr>
          <w:p>
            <w:r>
              <w:t xml:space="preserve">Not scored</w:t>
            </w:r>
          </w:p>
        </w:tc>
      </w:tr>
      <w:tr>
        <w:tc>
          <w:tcPr>
            <w:tcW w:type="dxa" w:w="2250"/>
          </w:tcPr>
          <w:p>
            <w:r>
              <w:t xml:space="preserve">Buyback discipline</w:t>
            </w:r>
          </w:p>
        </w:tc>
        <w:tc>
          <w:tcPr>
            <w:tcW w:type="dxa" w:w="2250"/>
          </w:tcPr>
          <w:p>
            <w:r>
              <w:t xml:space="preserve">Buys when cheap pass</w:t>
            </w:r>
          </w:p>
        </w:tc>
        <w:tc>
          <w:tcPr>
            <w:tcW w:type="dxa" w:w="2250"/>
          </w:tcPr>
          <w:p>
            <w:r>
              <w:t xml:space="preserve">Buybacks modest and CHIPS-Act-linked ($300M cited); insufficient evidence to confirm timing discipline at these multiples</w:t>
            </w:r>
          </w:p>
        </w:tc>
        <w:tc>
          <w:tcPr>
            <w:tcW w:type="dxa" w:w="2250"/>
          </w:tcPr>
          <w:p>
            <w:r>
              <w:t xml:space="preserve">Not scored</w:t>
            </w:r>
          </w:p>
        </w:tc>
      </w:tr>
      <w:tr>
        <w:tc>
          <w:tcPr>
            <w:tcW w:type="dxa" w:w="2250"/>
          </w:tcPr>
          <w:p>
            <w:r>
              <w:t xml:space="preserve">M&amp;A discipline</w:t>
            </w:r>
          </w:p>
        </w:tc>
        <w:tc>
          <w:tcPr>
            <w:tcW w:type="dxa" w:w="2250"/>
          </w:tcPr>
          <w:p>
            <w:r>
              <w:t xml:space="preserve">Bolt-on/sensible pass</w:t>
            </w:r>
          </w:p>
        </w:tc>
        <w:tc>
          <w:tcPr>
            <w:tcW w:type="dxa" w:w="2250"/>
          </w:tcPr>
          <w:p>
            <w:r>
              <w:t xml:space="preserve">No material M&amp;A activity identified - organic/capex-driven growth, no goodwill-bloat concern surfaced</w:t>
            </w:r>
          </w:p>
        </w:tc>
        <w:tc>
          <w:tcPr>
            <w:tcW w:type="dxa" w:w="2250"/>
          </w:tcPr>
          <w:p>
            <w:r>
              <w:t xml:space="preserve">PASS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Score: 4 pass / 3 flag / 2 not scored (7 criteria scored).</w:t>
      </w:r>
      <w:r>
        <w:t xml:space="preserve"> Per the framework's count rule (7+ pass -&gt; COMPOUNDER; 4-6 -&gt; QUALITY; &lt;4 -&gt; TRADE ONLY): </w:t>
      </w:r>
      <w:r>
        <w:rPr>
          <w:b/>
          <w:bCs/>
        </w:rPr>
        <w:t xml:space="preserve">QUALITY</w:t>
      </w:r>
      <w:r>
        <w:t xml:space="preserve"> — a genuinely good, improving business on several dimensions (earnings quality, self-funded growth, improving ROIC trend, no M&amp;A red flags), but the capital intensity and weak free-cash-flow conversion are real, structural features of the memory-IDM model, not incidental — this is not a Terry-Smith/Nick-Sleep-style asset-light compounder, and never has been across its public history.</w:t>
      </w:r>
    </w:p>
    <w:p>
      <w:pPr>
        <w:spacing w:after="120"/>
      </w:pPr>
      <w:r>
        <w:rPr>
          <w:b/>
          <w:bCs/>
        </w:rPr>
        <w:t xml:space="preserve">Combined with the MoS Gate (Section 5, NONE — price above even the Bull case): the actionable label is capped at WATCH</w:t>
      </w:r>
      <w:r>
        <w:t xml:space="preserve">, per the framework's own price-gating logic (a QUALITY-tier business earns the QUALITY *action* label only if price clears at least the Base case; MU clears none of the three scenarios).</w:t>
      </w:r>
    </w:p>
    <w:p>
      <w:pPr>
        <w:pStyle w:val="Heading2"/>
      </w:pPr>
      <w:r>
        <w:t xml:space="preserve">10. Sector Appendix — Semiconductors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val="clear"/>
          </w:tcPr>
          <w:p>
            <w:r>
              <w:t xml:space="preserve">Metric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Guidance/threshold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MU actual</w:t>
            </w:r>
          </w:p>
        </w:tc>
        <w:tc>
          <w:tcPr>
            <w:tcW w:type="dxa" w:w="2250"/>
            <w:shd w:fill="D9E2F3" w:val="clear"/>
          </w:tcPr>
          <w:p>
            <w:r>
              <w:t xml:space="preserve">Read</w:t>
            </w:r>
          </w:p>
        </w:tc>
      </w:tr>
      <w:tr>
        <w:tc>
          <w:tcPr>
            <w:tcW w:type="dxa" w:w="2250"/>
          </w:tcPr>
          <w:p>
            <w:r>
              <w:t xml:space="preserve">Book-to-bill</w:t>
            </w:r>
          </w:p>
        </w:tc>
        <w:tc>
          <w:tcPr>
            <w:tcW w:type="dxa" w:w="2250"/>
          </w:tcPr>
          <w:p>
            <w:r>
              <w:t xml:space="preserve">&gt;1.0 demand growing</w:t>
            </w:r>
          </w:p>
        </w:tc>
        <w:tc>
          <w:tcPr>
            <w:tcW w:type="dxa" w:w="2250"/>
          </w:tcPr>
          <w:p>
            <w:r>
              <w:t xml:space="preserve">Not a standard Micron disclosure; qualitative proxy - company describes HBM allocations as essentially sold out through 2026</w:t>
            </w:r>
          </w:p>
        </w:tc>
        <w:tc>
          <w:tcPr>
            <w:tcW w:type="dxa" w:w="2250"/>
          </w:tcPr>
          <w:p>
            <w:r>
              <w:t xml:space="preserve">Demand-positive, not independently quantified</w:t>
            </w:r>
          </w:p>
        </w:tc>
      </w:tr>
      <w:tr>
        <w:tc>
          <w:tcPr>
            <w:tcW w:type="dxa" w:w="2250"/>
          </w:tcPr>
          <w:p>
            <w:r>
              <w:t xml:space="preserve">Gross margin (IDM)</w:t>
            </w:r>
          </w:p>
        </w:tc>
        <w:tc>
          <w:tcPr>
            <w:tcW w:type="dxa" w:w="2250"/>
          </w:tcPr>
          <w:p>
            <w:r>
              <w:t xml:space="preserve">&gt;45% strong / &lt;35% flag</w:t>
            </w:r>
          </w:p>
        </w:tc>
        <w:tc>
          <w:tcPr>
            <w:tcW w:type="dxa" w:w="2250"/>
          </w:tcPr>
          <w:p>
            <w:r>
              <w:t xml:space="preserve">84.9% (Q3 FY26 actual) / ~86% (Q4 FY26 guide)</w:t>
            </w:r>
          </w:p>
        </w:tc>
        <w:tc>
          <w:tcPr>
            <w:tcW w:type="dxa" w:w="2250"/>
          </w:tcPr>
          <w:p>
            <w:r>
              <w:t xml:space="preserve">Far above "strong" - historically unprecedented for this company</w:t>
            </w:r>
          </w:p>
        </w:tc>
      </w:tr>
      <w:tr>
        <w:tc>
          <w:tcPr>
            <w:tcW w:type="dxa" w:w="2250"/>
          </w:tcPr>
          <w:p>
            <w:r>
              <w:t xml:space="preserve">Inventory days</w:t>
            </w:r>
          </w:p>
        </w:tc>
        <w:tc>
          <w:tcPr>
            <w:tcW w:type="dxa" w:w="2250"/>
          </w:tcPr>
          <w:p>
            <w:r>
              <w:t xml:space="preserve">Rising = weakness ahead; falling = recovery</w:t>
            </w:r>
          </w:p>
        </w:tc>
        <w:tc>
          <w:tcPr>
            <w:tcW w:type="dxa" w:w="2250"/>
          </w:tcPr>
          <w:p>
            <w:r>
              <w:t xml:space="preserve">Not independently retrieved this pass</w:t>
            </w:r>
          </w:p>
        </w:tc>
        <w:tc>
          <w:tcPr>
            <w:tcW w:type="dxa" w:w="2250"/>
          </w:tcPr>
          <w:p>
            <w:r>
              <w:t xml:space="preserve">Not scored - unavailable, not fabricated</w:t>
            </w:r>
          </w:p>
        </w:tc>
      </w:tr>
      <w:tr>
        <w:tc>
          <w:tcPr>
            <w:tcW w:type="dxa" w:w="2250"/>
          </w:tcPr>
          <w:p>
            <w:r>
              <w:t xml:space="preserve">AI/data-centre revenue %</w:t>
            </w:r>
          </w:p>
        </w:tc>
        <w:tc>
          <w:tcPr>
            <w:tcW w:type="dxa" w:w="2250"/>
          </w:tcPr>
          <w:p>
            <w:r>
              <w:t xml:space="preserve">Critical split metric</w:t>
            </w:r>
          </w:p>
        </w:tc>
        <w:tc>
          <w:tcPr>
            <w:tcW w:type="dxa" w:w="2250"/>
          </w:tcPr>
          <w:p>
            <w:r>
              <w:t xml:space="preserve">HBM + high-capacity DIMM + LP server DRAM = $10B / ~27% of FY25 revenue (FY26-specific split not broken out)</w:t>
            </w:r>
          </w:p>
        </w:tc>
        <w:tc>
          <w:tcPr>
            <w:tcW w:type="dxa" w:w="2250"/>
          </w:tcPr>
          <w:p>
            <w:r>
              <w:t xml:space="preserve">Rising fast, but legacy DRAM/NAND still does the majority of revenue even at the FY25 base rate</w:t>
            </w:r>
          </w:p>
        </w:tc>
      </w:tr>
      <w:tr>
        <w:tc>
          <w:tcPr>
            <w:tcW w:type="dxa" w:w="2250"/>
          </w:tcPr>
          <w:p>
            <w:r>
              <w:t xml:space="preserve">Customer concentration</w:t>
            </w:r>
          </w:p>
        </w:tc>
        <w:tc>
          <w:tcPr>
            <w:tcW w:type="dxa" w:w="2250"/>
          </w:tcPr>
          <w:p>
            <w:r>
              <w:t xml:space="preserve">&gt;20% single customer = key-man risk</w:t>
            </w:r>
          </w:p>
        </w:tc>
        <w:tc>
          <w:tcPr>
            <w:tcW w:type="dxa" w:w="2250"/>
          </w:tcPr>
          <w:p>
            <w:r>
              <w:t xml:space="preserve">HBM4 volume shipments explicitly tied to a "lead customer's platform" (industry reporting: Nvidia-platform-linked); exact % not disclosed</w:t>
            </w:r>
          </w:p>
        </w:tc>
        <w:tc>
          <w:tcPr>
            <w:tcW w:type="dxa" w:w="2250"/>
          </w:tcPr>
          <w:p>
            <w:r>
              <w:t xml:space="preserve">Qualitatively flagged, not quantified</w:t>
            </w:r>
          </w:p>
        </w:tc>
      </w:tr>
      <w:tr>
        <w:tc>
          <w:tcPr>
            <w:tcW w:type="dxa" w:w="2250"/>
          </w:tcPr>
          <w:p>
            <w:r>
              <w:t xml:space="preserve">CapEx / revenue (IDM)</w:t>
            </w:r>
          </w:p>
        </w:tc>
        <w:tc>
          <w:tcPr>
            <w:tcW w:type="dxa" w:w="2250"/>
          </w:tcPr>
          <w:p>
            <w:r>
              <w:t xml:space="preserve">&gt;30% without matching revenue growth = concern</w:t>
            </w:r>
          </w:p>
        </w:tc>
        <w:tc>
          <w:tcPr>
            <w:tcW w:type="dxa" w:w="2250"/>
          </w:tcPr>
          <w:p>
            <w:r>
              <w:t xml:space="preserve">See Section 9 - 19-20% (guided) to ~44-49% (implied), unreconciled discrepancy flagged</w:t>
            </w:r>
          </w:p>
        </w:tc>
        <w:tc>
          <w:tcPr>
            <w:tcW w:type="dxa" w:w="2250"/>
          </w:tcPr>
          <w:p>
            <w:r>
              <w:t xml:space="preserve">Flagged, with an explicit data-conflict caveat</w:t>
            </w:r>
          </w:p>
        </w:tc>
      </w:tr>
    </w:tbl>
    <w:p/>
    <w:p>
      <w:pPr>
        <w:pStyle w:val="Heading2"/>
      </w:pPr>
      <w:r>
        <w:t xml:space="preserve">11. Five-Year Ratio Trend Analysis</w:t>
      </w:r>
    </w:p>
    <w:p>
      <w:pPr>
        <w:spacing w:after="200"/>
      </w:pPr>
      <w:r>
        <w:rPr>
          <w:i/>
          <w:iCs/>
        </w:rPr>
        <w:t xml:space="preserve">Fiscal year is September-August. Historical share prices at each fiscal year-end were not independently re-derived this pass for the P/E, P/S, P/B, EV/Revenue, EV/EBITDA rows below - these are taken directly from stockanalysis.com's reported annual ratios (which do use each period's own contemporaneous price per that source's stated methodology), not backfilled with today's price.</w:t>
      </w:r>
    </w:p>
    <w:p>
      <w:pPr>
        <w:pStyle w:val="Heading3"/>
      </w:pPr>
      <w:r>
        <w:t xml:space="preserve">Base Ratio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/>
        </w:trPr>
        <w:tc>
          <w:tcPr>
            <w:tcW w:type="dxa" w:w="1285"/>
            <w:shd w:fill="D9E2F3" w:val="clear"/>
          </w:tcPr>
          <w:p>
            <w:r>
              <w:t xml:space="preserve">Metric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FY2021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FY2022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FY2023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FY2024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FY2025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TTM (thru Q3 FY26)</w:t>
            </w:r>
          </w:p>
        </w:tc>
      </w:tr>
      <w:tr>
        <w:tc>
          <w:tcPr>
            <w:tcW w:type="dxa" w:w="1285"/>
          </w:tcPr>
          <w:p>
            <w:r>
              <w:t xml:space="preserve">Revenue ($M)</w:t>
            </w:r>
          </w:p>
        </w:tc>
        <w:tc>
          <w:tcPr>
            <w:tcW w:type="dxa" w:w="1285"/>
          </w:tcPr>
          <w:p>
            <w:r>
              <w:t xml:space="preserve">27,705</w:t>
            </w:r>
          </w:p>
        </w:tc>
        <w:tc>
          <w:tcPr>
            <w:tcW w:type="dxa" w:w="1285"/>
          </w:tcPr>
          <w:p>
            <w:r>
              <w:t xml:space="preserve">30,758</w:t>
            </w:r>
          </w:p>
        </w:tc>
        <w:tc>
          <w:tcPr>
            <w:tcW w:type="dxa" w:w="1285"/>
          </w:tcPr>
          <w:p>
            <w:r>
              <w:t xml:space="preserve">15,540</w:t>
            </w:r>
          </w:p>
        </w:tc>
        <w:tc>
          <w:tcPr>
            <w:tcW w:type="dxa" w:w="1285"/>
          </w:tcPr>
          <w:p>
            <w:r>
              <w:t xml:space="preserve">25,111</w:t>
            </w:r>
          </w:p>
        </w:tc>
        <w:tc>
          <w:tcPr>
            <w:tcW w:type="dxa" w:w="1285"/>
          </w:tcPr>
          <w:p>
            <w:r>
              <w:t xml:space="preserve">37,378</w:t>
            </w:r>
          </w:p>
        </w:tc>
        <w:tc>
          <w:tcPr>
            <w:tcW w:type="dxa" w:w="1285"/>
          </w:tcPr>
          <w:p>
            <w:r>
              <w:t xml:space="preserve">90,274</w:t>
            </w:r>
          </w:p>
        </w:tc>
      </w:tr>
      <w:tr>
        <w:tc>
          <w:tcPr>
            <w:tcW w:type="dxa" w:w="1285"/>
          </w:tcPr>
          <w:p>
            <w:r>
              <w:t xml:space="preserve">Revenue growth YoY</w:t>
            </w:r>
          </w:p>
        </w:tc>
        <w:tc>
          <w:tcPr>
            <w:tcW w:type="dxa" w:w="1285"/>
          </w:tcPr>
          <w:p>
            <w:r>
              <w:t xml:space="preserve">29.25%</w:t>
            </w:r>
          </w:p>
        </w:tc>
        <w:tc>
          <w:tcPr>
            <w:tcW w:type="dxa" w:w="1285"/>
          </w:tcPr>
          <w:p>
            <w:r>
              <w:t xml:space="preserve">11.02%</w:t>
            </w:r>
          </w:p>
        </w:tc>
        <w:tc>
          <w:tcPr>
            <w:tcW w:type="dxa" w:w="1285"/>
          </w:tcPr>
          <w:p>
            <w:r>
              <w:t xml:space="preserve">-49.48%</w:t>
            </w:r>
          </w:p>
        </w:tc>
        <w:tc>
          <w:tcPr>
            <w:tcW w:type="dxa" w:w="1285"/>
          </w:tcPr>
          <w:p>
            <w:r>
              <w:t xml:space="preserve">61.59%</w:t>
            </w:r>
          </w:p>
        </w:tc>
        <w:tc>
          <w:tcPr>
            <w:tcW w:type="dxa" w:w="1285"/>
          </w:tcPr>
          <w:p>
            <w:r>
              <w:t xml:space="preserve">48.85%</w:t>
            </w:r>
          </w:p>
        </w:tc>
        <w:tc>
          <w:tcPr>
            <w:tcW w:type="dxa" w:w="1285"/>
          </w:tcPr>
          <w:p>
            <w:r>
              <w:t xml:space="preserve">166.98%</w:t>
            </w:r>
          </w:p>
        </w:tc>
      </w:tr>
      <w:tr>
        <w:tc>
          <w:tcPr>
            <w:tcW w:type="dxa" w:w="1285"/>
          </w:tcPr>
          <w:p>
            <w:r>
              <w:t xml:space="preserve">Gross margin</w:t>
            </w:r>
          </w:p>
        </w:tc>
        <w:tc>
          <w:tcPr>
            <w:tcW w:type="dxa" w:w="1285"/>
          </w:tcPr>
          <w:p>
            <w:r>
              <w:t xml:space="preserve">37.80%</w:t>
            </w:r>
          </w:p>
        </w:tc>
        <w:tc>
          <w:tcPr>
            <w:tcW w:type="dxa" w:w="1285"/>
          </w:tcPr>
          <w:p>
            <w:r>
              <w:t xml:space="preserve">45.18%</w:t>
            </w:r>
          </w:p>
        </w:tc>
        <w:tc>
          <w:tcPr>
            <w:tcW w:type="dxa" w:w="1285"/>
          </w:tcPr>
          <w:p>
            <w:r>
              <w:t xml:space="preserve">2.67%</w:t>
            </w:r>
          </w:p>
        </w:tc>
        <w:tc>
          <w:tcPr>
            <w:tcW w:type="dxa" w:w="1285"/>
          </w:tcPr>
          <w:p>
            <w:r>
              <w:t xml:space="preserve">22.35%</w:t>
            </w:r>
          </w:p>
        </w:tc>
        <w:tc>
          <w:tcPr>
            <w:tcW w:type="dxa" w:w="1285"/>
          </w:tcPr>
          <w:p>
            <w:r>
              <w:t xml:space="preserve">39.79%</w:t>
            </w:r>
          </w:p>
        </w:tc>
        <w:tc>
          <w:tcPr>
            <w:tcW w:type="dxa" w:w="1285"/>
          </w:tcPr>
          <w:p>
            <w:r>
              <w:t xml:space="preserve">72.57%</w:t>
            </w:r>
          </w:p>
        </w:tc>
      </w:tr>
      <w:tr>
        <w:tc>
          <w:tcPr>
            <w:tcW w:type="dxa" w:w="1285"/>
          </w:tcPr>
          <w:p>
            <w:r>
              <w:t xml:space="preserve">Net margin</w:t>
            </w:r>
          </w:p>
        </w:tc>
        <w:tc>
          <w:tcPr>
            <w:tcW w:type="dxa" w:w="1285"/>
          </w:tcPr>
          <w:p>
            <w:r>
              <w:t xml:space="preserve">21.15%</w:t>
            </w:r>
          </w:p>
        </w:tc>
        <w:tc>
          <w:tcPr>
            <w:tcW w:type="dxa" w:w="1285"/>
          </w:tcPr>
          <w:p>
            <w:r>
              <w:t xml:space="preserve">28.24%</w:t>
            </w:r>
          </w:p>
        </w:tc>
        <w:tc>
          <w:tcPr>
            <w:tcW w:type="dxa" w:w="1285"/>
          </w:tcPr>
          <w:p>
            <w:r>
              <w:t xml:space="preserve">-37.54%</w:t>
            </w:r>
          </w:p>
        </w:tc>
        <w:tc>
          <w:tcPr>
            <w:tcW w:type="dxa" w:w="1285"/>
          </w:tcPr>
          <w:p>
            <w:r>
              <w:t xml:space="preserve">3.10%</w:t>
            </w:r>
          </w:p>
        </w:tc>
        <w:tc>
          <w:tcPr>
            <w:tcW w:type="dxa" w:w="1285"/>
          </w:tcPr>
          <w:p>
            <w:r>
              <w:t xml:space="preserve">22.84%</w:t>
            </w:r>
          </w:p>
        </w:tc>
        <w:tc>
          <w:tcPr>
            <w:tcW w:type="dxa" w:w="1285"/>
          </w:tcPr>
          <w:p>
            <w:r>
              <w:t xml:space="preserve">55.91%</w:t>
            </w:r>
          </w:p>
        </w:tc>
      </w:tr>
      <w:tr>
        <w:tc>
          <w:tcPr>
            <w:tcW w:type="dxa" w:w="1285"/>
          </w:tcPr>
          <w:p>
            <w:r>
              <w:t xml:space="preserve">ROE</w:t>
            </w:r>
          </w:p>
        </w:tc>
        <w:tc>
          <w:tcPr>
            <w:tcW w:type="dxa" w:w="1285"/>
          </w:tcPr>
          <w:p>
            <w:r>
              <w:t xml:space="preserve">14.13%</w:t>
            </w:r>
          </w:p>
        </w:tc>
        <w:tc>
          <w:tcPr>
            <w:tcW w:type="dxa" w:w="1285"/>
          </w:tcPr>
          <w:p>
            <w:r>
              <w:t xml:space="preserve">18.51%</w:t>
            </w:r>
          </w:p>
        </w:tc>
        <w:tc>
          <w:tcPr>
            <w:tcW w:type="dxa" w:w="1285"/>
          </w:tcPr>
          <w:p>
            <w:r>
              <w:t xml:space="preserve">-12.41%</w:t>
            </w:r>
          </w:p>
        </w:tc>
        <w:tc>
          <w:tcPr>
            <w:tcW w:type="dxa" w:w="1285"/>
          </w:tcPr>
          <w:p>
            <w:r>
              <w:t xml:space="preserve">1.74%</w:t>
            </w:r>
          </w:p>
        </w:tc>
        <w:tc>
          <w:tcPr>
            <w:tcW w:type="dxa" w:w="1285"/>
          </w:tcPr>
          <w:p>
            <w:r>
              <w:t xml:space="preserve">17.20%</w:t>
            </w:r>
          </w:p>
        </w:tc>
        <w:tc>
          <w:tcPr>
            <w:tcW w:type="dxa" w:w="1285"/>
          </w:tcPr>
          <w:p>
            <w:r>
              <w:t xml:space="preserve">66.64%</w:t>
            </w:r>
          </w:p>
        </w:tc>
      </w:tr>
      <w:tr>
        <w:tc>
          <w:tcPr>
            <w:tcW w:type="dxa" w:w="1285"/>
          </w:tcPr>
          <w:p>
            <w:r>
              <w:t xml:space="preserve">P/E</w:t>
            </w:r>
          </w:p>
        </w:tc>
        <w:tc>
          <w:tcPr>
            <w:tcW w:type="dxa" w:w="1285"/>
          </w:tcPr>
          <w:p>
            <w:r>
              <w:t xml:space="preserve">14.21x</w:t>
            </w:r>
          </w:p>
        </w:tc>
        <w:tc>
          <w:tcPr>
            <w:tcW w:type="dxa" w:w="1285"/>
          </w:tcPr>
          <w:p>
            <w:r>
              <w:t xml:space="preserve">7.28x</w:t>
            </w:r>
          </w:p>
        </w:tc>
        <w:tc>
          <w:tcPr>
            <w:tcW w:type="dxa" w:w="1285"/>
          </w:tcPr>
          <w:p>
            <w:r>
              <w:t xml:space="preserve">n/m (negative EPS)</w:t>
            </w:r>
          </w:p>
        </w:tc>
        <w:tc>
          <w:tcPr>
            <w:tcW w:type="dxa" w:w="1285"/>
          </w:tcPr>
          <w:p>
            <w:r>
              <w:t xml:space="preserve">136.21x</w:t>
            </w:r>
          </w:p>
        </w:tc>
        <w:tc>
          <w:tcPr>
            <w:tcW w:type="dxa" w:w="1285"/>
          </w:tcPr>
          <w:p>
            <w:r>
              <w:t xml:space="preserve">15.99x</w:t>
            </w:r>
          </w:p>
        </w:tc>
        <w:tc>
          <w:tcPr>
            <w:tcW w:type="dxa" w:w="1285"/>
          </w:tcPr>
          <w:p>
            <w:r>
              <w:t xml:space="preserve">23.56x</w:t>
            </w:r>
          </w:p>
        </w:tc>
      </w:tr>
      <w:tr>
        <w:tc>
          <w:tcPr>
            <w:tcW w:type="dxa" w:w="1285"/>
          </w:tcPr>
          <w:p>
            <w:r>
              <w:t xml:space="preserve">P/S</w:t>
            </w:r>
          </w:p>
        </w:tc>
        <w:tc>
          <w:tcPr>
            <w:tcW w:type="dxa" w:w="1285"/>
          </w:tcPr>
          <w:p>
            <w:r>
              <w:t xml:space="preserve">3.01x</w:t>
            </w:r>
          </w:p>
        </w:tc>
        <w:tc>
          <w:tcPr>
            <w:tcW w:type="dxa" w:w="1285"/>
          </w:tcPr>
          <w:p>
            <w:r>
              <w:t xml:space="preserve">2.06x</w:t>
            </w:r>
          </w:p>
        </w:tc>
        <w:tc>
          <w:tcPr>
            <w:tcW w:type="dxa" w:w="1285"/>
          </w:tcPr>
          <w:p>
            <w:r>
              <w:t xml:space="preserve">4.93x</w:t>
            </w:r>
          </w:p>
        </w:tc>
        <w:tc>
          <w:tcPr>
            <w:tcW w:type="dxa" w:w="1285"/>
          </w:tcPr>
          <w:p>
            <w:r>
              <w:t xml:space="preserve">4.22x</w:t>
            </w:r>
          </w:p>
        </w:tc>
        <w:tc>
          <w:tcPr>
            <w:tcW w:type="dxa" w:w="1285"/>
          </w:tcPr>
          <w:p>
            <w:r>
              <w:t xml:space="preserve">3.65x</w:t>
            </w:r>
          </w:p>
        </w:tc>
        <w:tc>
          <w:tcPr>
            <w:tcW w:type="dxa" w:w="1285"/>
          </w:tcPr>
          <w:p>
            <w:r>
              <w:t xml:space="preserve">13.08x</w:t>
            </w:r>
          </w:p>
        </w:tc>
      </w:tr>
      <w:tr>
        <w:tc>
          <w:tcPr>
            <w:tcW w:type="dxa" w:w="1285"/>
          </w:tcPr>
          <w:p>
            <w:r>
              <w:t xml:space="preserve">P/B</w:t>
            </w:r>
          </w:p>
        </w:tc>
        <w:tc>
          <w:tcPr>
            <w:tcW w:type="dxa" w:w="1285"/>
          </w:tcPr>
          <w:p>
            <w:r>
              <w:t xml:space="preserve">1.90x</w:t>
            </w:r>
          </w:p>
        </w:tc>
        <w:tc>
          <w:tcPr>
            <w:tcW w:type="dxa" w:w="1285"/>
          </w:tcPr>
          <w:p>
            <w:r>
              <w:t xml:space="preserve">1.27x</w:t>
            </w:r>
          </w:p>
        </w:tc>
        <w:tc>
          <w:tcPr>
            <w:tcW w:type="dxa" w:w="1285"/>
          </w:tcPr>
          <w:p>
            <w:r>
              <w:t xml:space="preserve">1.74x</w:t>
            </w:r>
          </w:p>
        </w:tc>
        <w:tc>
          <w:tcPr>
            <w:tcW w:type="dxa" w:w="1285"/>
          </w:tcPr>
          <w:p>
            <w:r>
              <w:t xml:space="preserve">2.35x</w:t>
            </w:r>
          </w:p>
        </w:tc>
        <w:tc>
          <w:tcPr>
            <w:tcW w:type="dxa" w:w="1285"/>
          </w:tcPr>
          <w:p>
            <w:r>
              <w:t xml:space="preserve">2.52x</w:t>
            </w:r>
          </w:p>
        </w:tc>
        <w:tc>
          <w:tcPr>
            <w:tcW w:type="dxa" w:w="1285"/>
          </w:tcPr>
          <w:p>
            <w:r>
              <w:t xml:space="preserve">11.70x</w:t>
            </w:r>
          </w:p>
        </w:tc>
      </w:tr>
      <w:tr>
        <w:tc>
          <w:tcPr>
            <w:tcW w:type="dxa" w:w="1285"/>
          </w:tcPr>
          <w:p>
            <w:r>
              <w:t xml:space="preserve">EV/Revenue</w:t>
            </w:r>
          </w:p>
        </w:tc>
        <w:tc>
          <w:tcPr>
            <w:tcW w:type="dxa" w:w="1285"/>
          </w:tcPr>
          <w:p>
            <w:r>
              <w:t xml:space="preserve">2.92x</w:t>
            </w:r>
          </w:p>
        </w:tc>
        <w:tc>
          <w:tcPr>
            <w:tcW w:type="dxa" w:w="1285"/>
          </w:tcPr>
          <w:p>
            <w:r>
              <w:t xml:space="preserve">1.92x</w:t>
            </w:r>
          </w:p>
        </w:tc>
        <w:tc>
          <w:tcPr>
            <w:tcW w:type="dxa" w:w="1285"/>
          </w:tcPr>
          <w:p>
            <w:r>
              <w:t xml:space="preserve">5.10x</w:t>
            </w:r>
          </w:p>
        </w:tc>
        <w:tc>
          <w:tcPr>
            <w:tcW w:type="dxa" w:w="1285"/>
          </w:tcPr>
          <w:p>
            <w:r>
              <w:t xml:space="preserve">4.41x</w:t>
            </w:r>
          </w:p>
        </w:tc>
        <w:tc>
          <w:tcPr>
            <w:tcW w:type="dxa" w:w="1285"/>
          </w:tcPr>
          <w:p>
            <w:r>
              <w:t xml:space="preserve">3.76x</w:t>
            </w:r>
          </w:p>
        </w:tc>
        <w:tc>
          <w:tcPr>
            <w:tcW w:type="dxa" w:w="1285"/>
          </w:tcPr>
          <w:p>
            <w:r>
              <w:t xml:space="preserve">12.82x</w:t>
            </w:r>
          </w:p>
        </w:tc>
      </w:tr>
      <w:tr>
        <w:tc>
          <w:tcPr>
            <w:tcW w:type="dxa" w:w="1285"/>
          </w:tcPr>
          <w:p>
            <w:r>
              <w:t xml:space="preserve">EV/EBITDA</w:t>
            </w:r>
          </w:p>
        </w:tc>
        <w:tc>
          <w:tcPr>
            <w:tcW w:type="dxa" w:w="1285"/>
          </w:tcPr>
          <w:p>
            <w:r>
              <w:t xml:space="preserve">6.25x</w:t>
            </w:r>
          </w:p>
        </w:tc>
        <w:tc>
          <w:tcPr>
            <w:tcW w:type="dxa" w:w="1285"/>
          </w:tcPr>
          <w:p>
            <w:r>
              <w:t xml:space="preserve">3.52x</w:t>
            </w:r>
          </w:p>
        </w:tc>
        <w:tc>
          <w:tcPr>
            <w:tcW w:type="dxa" w:w="1285"/>
          </w:tcPr>
          <w:p>
            <w:r>
              <w:t xml:space="preserve">19.33x</w:t>
            </w:r>
          </w:p>
        </w:tc>
        <w:tc>
          <w:tcPr>
            <w:tcW w:type="dxa" w:w="1285"/>
          </w:tcPr>
          <w:p>
            <w:r>
              <w:t xml:space="preserve">12.30x</w:t>
            </w:r>
          </w:p>
        </w:tc>
        <w:tc>
          <w:tcPr>
            <w:tcW w:type="dxa" w:w="1285"/>
          </w:tcPr>
          <w:p>
            <w:r>
              <w:t xml:space="preserve">7.77x</w:t>
            </w:r>
          </w:p>
        </w:tc>
        <w:tc>
          <w:tcPr>
            <w:tcW w:type="dxa" w:w="1285"/>
          </w:tcPr>
          <w:p>
            <w:r>
              <w:t xml:space="preserve">16.96x</w:t>
            </w:r>
          </w:p>
        </w:tc>
      </w:tr>
      <w:tr>
        <w:tc>
          <w:tcPr>
            <w:tcW w:type="dxa" w:w="1285"/>
          </w:tcPr>
          <w:p>
            <w:r>
              <w:t xml:space="preserve">Debt/Equity</w:t>
            </w:r>
          </w:p>
        </w:tc>
        <w:tc>
          <w:tcPr>
            <w:tcW w:type="dxa" w:w="1285"/>
          </w:tcPr>
          <w:p>
            <w:r>
              <w:t xml:space="preserve">0.17</w:t>
            </w:r>
          </w:p>
        </w:tc>
        <w:tc>
          <w:tcPr>
            <w:tcW w:type="dxa" w:w="1285"/>
          </w:tcPr>
          <w:p>
            <w:r>
              <w:t xml:space="preserve">0.15</w:t>
            </w:r>
          </w:p>
        </w:tc>
        <w:tc>
          <w:tcPr>
            <w:tcW w:type="dxa" w:w="1285"/>
          </w:tcPr>
          <w:p>
            <w:r>
              <w:t xml:space="preserve">0.32</w:t>
            </w:r>
          </w:p>
        </w:tc>
        <w:tc>
          <w:tcPr>
            <w:tcW w:type="dxa" w:w="1285"/>
          </w:tcPr>
          <w:p>
            <w:r>
              <w:t xml:space="preserve">0.31</w:t>
            </w:r>
          </w:p>
        </w:tc>
        <w:tc>
          <w:tcPr>
            <w:tcW w:type="dxa" w:w="1285"/>
          </w:tcPr>
          <w:p>
            <w:r>
              <w:t xml:space="preserve">0.28</w:t>
            </w:r>
          </w:p>
        </w:tc>
        <w:tc>
          <w:tcPr>
            <w:tcW w:type="dxa" w:w="1285"/>
          </w:tcPr>
          <w:p>
            <w:r>
              <w:t xml:space="preserve">0.06</w:t>
            </w:r>
          </w:p>
        </w:tc>
      </w:tr>
      <w:tr>
        <w:tc>
          <w:tcPr>
            <w:tcW w:type="dxa" w:w="1285"/>
          </w:tcPr>
          <w:p>
            <w:r>
              <w:t xml:space="preserve">Net cash/(net debt) ($M)</w:t>
            </w:r>
          </w:p>
        </w:tc>
        <w:tc>
          <w:tcPr>
            <w:tcW w:type="dxa" w:w="1285"/>
          </w:tcPr>
          <w:p>
            <w:r>
              <w:t xml:space="preserve">1,298</w:t>
            </w:r>
          </w:p>
        </w:tc>
        <w:tc>
          <w:tcPr>
            <w:tcW w:type="dxa" w:w="1285"/>
          </w:tcPr>
          <w:p>
            <w:r>
              <w:t xml:space="preserve">1,755</w:t>
            </w:r>
          </w:p>
        </w:tc>
        <w:tc>
          <w:tcPr>
            <w:tcW w:type="dxa" w:w="1285"/>
          </w:tcPr>
          <w:p>
            <w:r>
              <w:t xml:space="preserve">-4,405</w:t>
            </w:r>
          </w:p>
        </w:tc>
        <w:tc>
          <w:tcPr>
            <w:tcW w:type="dxa" w:w="1285"/>
          </w:tcPr>
          <w:p>
            <w:r>
              <w:t xml:space="preserve">-5,972</w:t>
            </w:r>
          </w:p>
        </w:tc>
        <w:tc>
          <w:tcPr>
            <w:tcW w:type="dxa" w:w="1285"/>
          </w:tcPr>
          <w:p>
            <w:r>
              <w:t xml:space="preserve">-5,045</w:t>
            </w:r>
          </w:p>
        </w:tc>
        <w:tc>
          <w:tcPr>
            <w:tcW w:type="dxa" w:w="1285"/>
          </w:tcPr>
          <w:p>
            <w:r>
              <w:t xml:space="preserve">+19,646</w:t>
            </w:r>
          </w:p>
        </w:tc>
      </w:tr>
      <w:tr>
        <w:tc>
          <w:tcPr>
            <w:tcW w:type="dxa" w:w="1285"/>
          </w:tcPr>
          <w:p>
            <w:r>
              <w:t xml:space="preserve">FCF margin (FCF/Revenue)</w:t>
            </w:r>
          </w:p>
        </w:tc>
        <w:tc>
          <w:tcPr>
            <w:tcW w:type="dxa" w:w="1285"/>
          </w:tcPr>
          <w:p>
            <w:r>
              <w:t xml:space="preserve">-</w:t>
            </w:r>
          </w:p>
        </w:tc>
        <w:tc>
          <w:tcPr>
            <w:tcW w:type="dxa" w:w="1285"/>
          </w:tcPr>
          <w:p>
            <w:r>
              <w:t xml:space="preserve">-</w:t>
            </w:r>
          </w:p>
        </w:tc>
        <w:tc>
          <w:tcPr>
            <w:tcW w:type="dxa" w:w="1285"/>
          </w:tcPr>
          <w:p>
            <w:r>
              <w:t xml:space="preserve">-</w:t>
            </w:r>
          </w:p>
        </w:tc>
        <w:tc>
          <w:tcPr>
            <w:tcW w:type="dxa" w:w="1285"/>
          </w:tcPr>
          <w:p>
            <w:r>
              <w:t xml:space="preserve">-</w:t>
            </w:r>
          </w:p>
        </w:tc>
        <w:tc>
          <w:tcPr>
            <w:tcW w:type="dxa" w:w="1285"/>
          </w:tcPr>
          <w:p>
            <w:r>
              <w:t xml:space="preserve">-</w:t>
            </w:r>
          </w:p>
        </w:tc>
        <w:tc>
          <w:tcPr>
            <w:tcW w:type="dxa" w:w="1285"/>
          </w:tcPr>
          <w:p>
            <w:r>
              <w:t xml:space="preserve">8.46%</w:t>
            </w:r>
          </w:p>
        </w:tc>
      </w:tr>
    </w:tbl>
    <w:p/>
    <w:p>
      <w:pPr>
        <w:pStyle w:val="Heading3"/>
      </w:pPr>
      <w:r>
        <w:t xml:space="preserve">Sector-Specific Ratio Table (Semiconductors)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tblHeader/>
        </w:trPr>
        <w:tc>
          <w:tcPr>
            <w:tcW w:type="dxa" w:w="1285"/>
            <w:shd w:fill="D9E2F3" w:val="clear"/>
          </w:tcPr>
          <w:p>
            <w:r>
              <w:t xml:space="preserve">Metric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FY2021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FY2022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FY2023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FY2024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FY2025</w:t>
            </w:r>
          </w:p>
        </w:tc>
        <w:tc>
          <w:tcPr>
            <w:tcW w:type="dxa" w:w="1285"/>
            <w:shd w:fill="D9E2F3" w:val="clear"/>
          </w:tcPr>
          <w:p>
            <w:r>
              <w:t xml:space="preserve">TTM</w:t>
            </w:r>
          </w:p>
        </w:tc>
      </w:tr>
      <w:tr>
        <w:tc>
          <w:tcPr>
            <w:tcW w:type="dxa" w:w="1285"/>
          </w:tcPr>
          <w:p>
            <w:r>
              <w:t xml:space="preserve">Gross margin (IDM)</w:t>
            </w:r>
          </w:p>
        </w:tc>
        <w:tc>
          <w:tcPr>
            <w:tcW w:type="dxa" w:w="1285"/>
          </w:tcPr>
          <w:p>
            <w:r>
              <w:t xml:space="preserve">37.80%</w:t>
            </w:r>
          </w:p>
        </w:tc>
        <w:tc>
          <w:tcPr>
            <w:tcW w:type="dxa" w:w="1285"/>
          </w:tcPr>
          <w:p>
            <w:r>
              <w:t xml:space="preserve">45.18%</w:t>
            </w:r>
          </w:p>
        </w:tc>
        <w:tc>
          <w:tcPr>
            <w:tcW w:type="dxa" w:w="1285"/>
          </w:tcPr>
          <w:p>
            <w:r>
              <w:t xml:space="preserve">2.67%</w:t>
            </w:r>
          </w:p>
        </w:tc>
        <w:tc>
          <w:tcPr>
            <w:tcW w:type="dxa" w:w="1285"/>
          </w:tcPr>
          <w:p>
            <w:r>
              <w:t xml:space="preserve">22.35%</w:t>
            </w:r>
          </w:p>
        </w:tc>
        <w:tc>
          <w:tcPr>
            <w:tcW w:type="dxa" w:w="1285"/>
          </w:tcPr>
          <w:p>
            <w:r>
              <w:t xml:space="preserve">39.79%</w:t>
            </w:r>
          </w:p>
        </w:tc>
        <w:tc>
          <w:tcPr>
            <w:tcW w:type="dxa" w:w="1285"/>
          </w:tcPr>
          <w:p>
            <w:r>
              <w:t xml:space="preserve">72.57% (rising to ~86% intra-quarter, Q4 FY26 guide)</w:t>
            </w:r>
          </w:p>
        </w:tc>
      </w:tr>
      <w:tr>
        <w:tc>
          <w:tcPr>
            <w:tcW w:type="dxa" w:w="1285"/>
          </w:tcPr>
          <w:p>
            <w:r>
              <w:t xml:space="preserve">CapEx / Revenue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36.9% ($13.80B/$37.38B)</w:t>
            </w:r>
          </w:p>
        </w:tc>
        <w:tc>
          <w:tcPr>
            <w:tcW w:type="dxa" w:w="1285"/>
          </w:tcPr>
          <w:p>
            <w:r>
              <w:t xml:space="preserve">~19-20% guided FY26 / ~44-49% implied</w:t>
            </w:r>
          </w:p>
        </w:tc>
      </w:tr>
      <w:tr>
        <w:tc>
          <w:tcPr>
            <w:tcW w:type="dxa" w:w="1285"/>
          </w:tcPr>
          <w:p>
            <w:r>
              <w:t xml:space="preserve">Dilution (shares out, M)</w:t>
            </w:r>
          </w:p>
        </w:tc>
        <w:tc>
          <w:tcPr>
            <w:tcW w:type="dxa" w:w="1285"/>
          </w:tcPr>
          <w:p>
            <w:r>
              <w:t xml:space="preserve">1,119</w:t>
            </w:r>
          </w:p>
        </w:tc>
        <w:tc>
          <w:tcPr>
            <w:tcW w:type="dxa" w:w="1285"/>
          </w:tcPr>
          <w:p>
            <w:r>
              <w:t xml:space="preserve">1,094</w:t>
            </w:r>
          </w:p>
        </w:tc>
        <w:tc>
          <w:tcPr>
            <w:tcW w:type="dxa" w:w="1285"/>
          </w:tcPr>
          <w:p>
            <w:r>
              <w:t xml:space="preserve">1,098</w:t>
            </w:r>
          </w:p>
        </w:tc>
        <w:tc>
          <w:tcPr>
            <w:tcW w:type="dxa" w:w="1285"/>
          </w:tcPr>
          <w:p>
            <w:r>
              <w:t xml:space="preserve">1,109</w:t>
            </w:r>
          </w:p>
        </w:tc>
        <w:tc>
          <w:tcPr>
            <w:tcW w:type="dxa" w:w="1285"/>
          </w:tcPr>
          <w:p>
            <w:r>
              <w:t xml:space="preserve">1,122</w:t>
            </w:r>
          </w:p>
        </w:tc>
        <w:tc>
          <w:tcPr>
            <w:tcW w:type="dxa" w:w="1285"/>
          </w:tcPr>
          <w:p>
            <w:r>
              <w:t xml:space="preserve">1,129</w:t>
            </w:r>
          </w:p>
        </w:tc>
      </w:tr>
      <w:tr>
        <w:tc>
          <w:tcPr>
            <w:tcW w:type="dxa" w:w="1285"/>
          </w:tcPr>
          <w:p>
            <w:r>
              <w:t xml:space="preserve">AI/data-centre revenue mix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n/a</w:t>
            </w:r>
          </w:p>
        </w:tc>
        <w:tc>
          <w:tcPr>
            <w:tcW w:type="dxa" w:w="1285"/>
          </w:tcPr>
          <w:p>
            <w:r>
              <w:t xml:space="preserve">~27% (HBM+DIMM+LP-server proxy)</w:t>
            </w:r>
          </w:p>
        </w:tc>
        <w:tc>
          <w:tcPr>
            <w:tcW w:type="dxa" w:w="1285"/>
          </w:tcPr>
          <w:p>
            <w:r>
              <w:t xml:space="preserve">Not broken out this pass, directionally higher</w:t>
            </w:r>
          </w:p>
        </w:tc>
      </w:tr>
    </w:tbl>
    <w:p/>
    <w:p>
      <w:pPr>
        <w:pStyle w:val="Heading3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gross-margin row is the entire investment case and the entire risk case in one line.</w:t>
      </w:r>
      <w:r>
        <w:t xml:space="preserve"> 37.80% -&gt; 45.18% -&gt; 2.67% -&gt; 22.35% -&gt; 39.79% -&gt; 72.57% (TTM, still rising toward the 86% Q4 guide) is not a "quality compounder" margin trend - it is a textbook commodity-cycle amplitude, now hitting an unprecedented high. This is the hard number behind both the Fisher #5/#6 "yes, dramatically improving" read (Section 7) *and* the Koller MoS Gate "NONE" finding (Section 5) - the same data point supports a bullish qualitative read and a bearish quantitative-valuation read simultaneously, and both are correct at the same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P/S expanding from a 2.06x-4.93x five-year range to 13.08x TTM is the same tension Mauboussin's PIE section (6) already quantified numerically</w:t>
      </w:r>
      <w:r>
        <w:t xml:space="preserve"> - the multiple has re-rated by roughly 3-6x over the trailing period, materially faster than even this extraordinary revenue growth would mechanically justify on a constant-multiple basis, which is exactly what "priced for perfection" means in practice, not just in theory.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net-cash swing (from -$5.97B net debt in FY24 to +$19.6B net cash TTM) is a genuine, non-cyclical structural improvement</w:t>
      </w:r>
      <w:r>
        <w:t xml:space="preserve"> - this is the one row in this table that is not simply "the cycle is at its peak" and deserves to be weighted as a real balance-sheet de-risking, independent of where memory pricing goes next.</w:t>
      </w:r>
    </w:p>
    <w:p>
      <w:pPr>
        <w:pStyle w:val="Heading2"/>
      </w:pPr>
      <w:r>
        <w:t xml:space="preserve">12. Final Verdict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MU | B-SM | Cyclical | F-Score: n/a (this agent does not compute the numeric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composite for Deep-Dive Mode outside Screening Mode's table) | DCF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Bear-Base-Bull: $145.5 / $305.4 / $409.3 | MoS Gate: NONE | Compounder: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WATCH (structural QUALITY, capped by price) | AI Impact: TAILWIND | Horizon: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n/a at current price (would be 3-5yr QUALITY horizon if price fell into the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Base-case band) | Thesis Invalidation: memory pricing/margin normalizes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toward its 39.8%-or-lower historical gross-margin band (i.e., the FY25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level or below) while the stock has not re-rated down to reflect it, 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HBM share is structurally lost to SK Hynix/Samsung such that the AI-mix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thesis stalls, OR the Sept 30, 2026 FQ4 print misses the $50B+/-$1B 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~86% GM guide meaningfully</w:t>
      </w:r>
    </w:p>
    <w:p/>
    <w:p>
      <w:pPr>
        <w:spacing w:after="120"/>
      </w:pPr>
      <w:r>
        <w:rPr>
          <w:b/>
          <w:bCs/>
        </w:rPr>
        <w:t xml:space="preserve">One-paragraph summary:</w:t>
      </w:r>
      <w:r>
        <w:t xml:space="preserve"> Micron's AI/HBM-driven memory supercycle is real, not fabricated by a data error - fiscal Q3 2026 revenue genuinely grew 346% YoY and Q4 guidance points to another record ($50B, ~86% gross margin), with the actual print landing September 30, six trading days from this report. But "the business is genuinely booming" and "the stock is a sound long-term holding at $1,044" are two different claims, and this report's central finding is that the current price requires something close to Micron's single best quarter in company history to become the permanent, non-cyclical baseline forever - a claim this report's own three-scenario DCF cannot rationalize even under its most optimistic mechanically-defensible Bull case ($409.3/share, ~61% below the current price). The single data point most likely to move this verdict is the Sept 30 FQ4 print and accompanying FY27 guidance: a guide that explicitly extends the current margin/pricing regime deep into FY27 (rather than flagging normalization) would be the first piece of *company-sourced* (not just macro-momentum-sourced) evidence that this cycle's amplitude is genuinely different from FY22-FY23's, and would be the natural trigger to rerun this DCF with updated assumptions.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2026-09-22T16:15:53.677Z</dcterms:created>
  <dcterms:modified xsi:type="dcterms:W3CDTF">2026-09-22T16:15:53.680Z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