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MXL — MaxLinear, Inc. — Long-Term Deep-Dive</w:t>
      </w:r>
    </w:p>
    <w:p>
      <w:r>
        <w:rPr>
          <w:b/>
          <w:bCs/>
        </w:rPr>
        <w:t xml:space="preserve">2026-09-22 | Price: $85.98 (Sept 21, 2026 close, +6.0% that session) | Shares out: 89.55M | Market cap: ~$7.70B | 52wk range: $12.77–$128.30</w:t>
      </w:r>
    </w:p>
    <w:p>
      <w:pPr>
        <w:pStyle w:val="Heading2"/>
      </w:pPr>
      <w:r>
        <w:t xml:space="preserve">0. Recent Context</w:t>
      </w:r>
    </w:p>
    <w:p>
      <w:r>
        <w:rPr>
          <w:b/>
          <w:bCs/>
        </w:rPr>
        <w:t xml:space="preserve">Last reported quarter — Q2 2026 (ended June 2026), reported July 23, 2026:</w:t>
      </w:r>
    </w:p>
    <w:p>
      <w:pPr>
        <w:pStyle w:val="ListParagraph"/>
        <w:numPr>
          <w:ilvl w:val="0"/>
          <w:numId w:val="1"/>
        </w:numPr>
      </w:pPr>
      <w:r>
        <w:t xml:space="preserve">Revenue $168.8M, up 23% QoQ (from Q1's $137.2M) and up 55% YoY. Beat estimates.</w:t>
      </w:r>
    </w:p>
    <w:p>
      <w:pPr>
        <w:pStyle w:val="ListParagraph"/>
        <w:numPr>
          <w:ilvl w:val="0"/>
          <w:numId w:val="1"/>
        </w:numPr>
      </w:pPr>
      <w:r>
        <w:t xml:space="preserve">GAAP EPS </w:t>
      </w:r>
      <w:r>
        <w:rPr>
          <w:b/>
          <w:bCs/>
        </w:rPr>
        <w:t xml:space="preserve">+$0.02</w:t>
      </w:r>
      <w:r>
        <w:t xml:space="preserve"> — first GAAP profit after several loss quarters. Non-GAAP EPS $0.35.</w:t>
      </w:r>
    </w:p>
    <w:p>
      <w:pPr>
        <w:pStyle w:val="ListParagraph"/>
        <w:numPr>
          <w:ilvl w:val="0"/>
          <w:numId w:val="1"/>
        </w:numPr>
      </w:pPr>
      <w:r>
        <w:t xml:space="preserve">Segment revenue: Infrastructure $85M (+145% YoY, now the largest category), Broadband $45M, Connectivity $24M, Industrial &amp; Multimarket $15M.</w:t>
      </w:r>
    </w:p>
    <w:p>
      <w:pPr>
        <w:pStyle w:val="ListParagraph"/>
        <w:numPr>
          <w:ilvl w:val="0"/>
          <w:numId w:val="1"/>
        </w:numPr>
      </w:pPr>
      <w:r>
        <w:t xml:space="preserve">Full-year 2026 optical-data-center revenue guide </w:t>
      </w:r>
      <w:r>
        <w:rPr>
          <w:b/>
          <w:bCs/>
        </w:rPr>
        <w:t xml:space="preserve">raised to $210–230M</w:t>
      </w:r>
      <w:r>
        <w:t xml:space="preserve"> (from $150–170M given at the Q1 call) on hyperscale ramp visibility.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Q3 2026 guidance</w:t>
      </w:r>
      <w:r>
        <w:t xml:space="preserve">: revenue $210–220M (implies another ~26–30% QoQ jump), non-GAAP gross margin 58.5–61.5% (midpoint 60%). Q3 2026 report date not independently confirmed this pass — not found in sources retrieved; flagged as unavailable rather than guessed.</w:t>
      </w:r>
    </w:p>
    <w:p>
      <w:pPr>
        <w:pStyle w:val="ListParagraph"/>
        <w:numPr>
          <w:ilvl w:val="0"/>
          <w:numId w:val="1"/>
        </w:numPr>
      </w:pPr>
      <w:r>
        <w:t xml:space="preserve">Stock reportedly fell after-hours despite the beat/raise (one source: "beats Q2 estimates, then falls after hours") — a genuine post-earnings volatility/expectations-reset signal worth noting alongside the headline beat.</w:t>
      </w:r>
    </w:p>
    <w:p>
      <w:r>
        <w:rPr>
          <w:b/>
          <w:bCs/>
        </w:rPr>
        <w:t xml:space="preserve">Recent news (trailing ~90 days):</w:t>
      </w:r>
    </w:p>
    <w:p>
      <w:pPr>
        <w:pStyle w:val="ListParagraph"/>
        <w:numPr>
          <w:ilvl w:val="0"/>
          <w:numId w:val="1"/>
        </w:numPr>
      </w:pPr>
      <w:r>
        <w:t xml:space="preserve">Analysts raised price targets ~34% to an average </w:t>
      </w:r>
      <w:r>
        <w:rPr>
          <w:b/>
          <w:bCs/>
        </w:rPr>
        <w:t xml:space="preserve">$94.55</w:t>
      </w:r>
      <w:r>
        <w:t xml:space="preserve"> in late July 2026 following Q2 results; 11 analysts, consensus rating "Buy," 2026 revenue consensus ~$738M (implying a further ~+58% vs. FY25's $467.6M).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Insider activity — one-sided and material</w:t>
      </w:r>
      <w:r>
        <w:t xml:space="preserve">: insiders sold </w:t>
      </w:r>
      <w:r>
        <w:rPr>
          <w:b/>
          <w:bCs/>
        </w:rPr>
        <w:t xml:space="preserve">$60.6M</w:t>
      </w:r>
      <w:r>
        <w:t xml:space="preserve"> of stock over the trailing 12 months with </w:t>
      </w:r>
      <w:r>
        <w:rPr>
          <w:b/>
          <w:bCs/>
        </w:rPr>
        <w:t xml:space="preserve">zero buying</w:t>
      </w:r>
      <w:r>
        <w:t xml:space="preserve">; Chairman/President/CEO Kishore Seendripu sold 1.18M shares in the period through Sept 9, 2026. Institutional ownership 90.79%, with a mixed recent-quarter pattern (5 gurus increasing stakes, 3 trimming).</w:t>
      </w:r>
    </w:p>
    <w:p>
      <w:pPr>
        <w:pStyle w:val="ListParagraph"/>
        <w:numPr>
          <w:ilvl w:val="0"/>
          <w:numId w:val="1"/>
        </w:numPr>
      </w:pPr>
      <w:r>
        <w:t xml:space="preserve">Beta readings conflict across sources: 1.70 (March 2026) vs. 3.95 (May 2026) — both cited below with the higher, more recent figure weighted more heavily given the stock's realized volatility (52-week range spans nearly 10x, $12.77–$128.30, and an all-time high of $128.03 was hit June 30, 2026 before a subsequent pullback and the Sept 21 partial recovery).</w:t>
      </w:r>
    </w:p>
    <w:p>
      <w:pPr>
        <w:pStyle w:val="ListParagraph"/>
        <w:numPr>
          <w:ilvl w:val="0"/>
          <w:numId w:val="1"/>
        </w:numPr>
      </w:pPr>
      <w:r>
        <w:t xml:space="preserve">No new M&amp;A or executive-change news found this pass.</w:t>
      </w:r>
    </w:p>
    <w:p>
      <w:pPr>
        <w:pStyle w:val="Heading2"/>
      </w:pPr>
      <w:r>
        <w:t xml:space="preserve">1. Business Overview</w:t>
      </w:r>
    </w:p>
    <w:p>
      <w:r>
        <w:rPr>
          <w:b/>
          <w:bCs/>
        </w:rPr>
        <w:t xml:space="preserve">Segments (current reporting, since FY26)</w:t>
      </w:r>
      <w:r>
        <w:t xml:space="preserve">: Infrastructure (optical/wired-infra including data-center PAM4 DSPs, wireless backhaul — now the largest and fastest-growing category), Broadband (DOCSIS/fiber PON gateway SoCs), Connectivity (Wi-Fi), Industrial &amp; Multimarket. Q2 2026 mix: Infrastructure 50%, Broadband 27%, Connectivity 14%, Industrial/Multimarket 9% of revenue.</w:t>
      </w:r>
    </w:p>
    <w:p>
      <w:r>
        <w:rPr>
          <w:b/>
          <w:bCs/>
        </w:rPr>
        <w:t xml:space="preserve">Principal markets</w:t>
      </w:r>
      <w:r>
        <w:t xml:space="preserve">: hyperscale/cloud data-center operators and optical-module makers (Infrastructure/AI-optics), Tier-1 broadband service providers in North America and Europe (Broadband — DOCSIS and Wi-Fi 7 gateway platforms), industrial/multimarket customers. Customer concentration: 10 customers ≈ 60% of FY2024 net revenue (most recent 10-K figure found); management has explicitly flagged that concentration is likely to *rise* further as more revenue shifts to a small number of hyperscalers and module makers — a genuine and growing single-customer/small-group risk.</w:t>
      </w:r>
    </w:p>
    <w:p>
      <w:r>
        <w:rPr>
          <w:b/>
          <w:bCs/>
        </w:rPr>
        <w:t xml:space="preserve">TAM</w:t>
      </w:r>
      <w:r>
        <w:t xml:space="preserve">: Company-disclosed, product-specific: MaxLinear projects 800G will be ~70% of the high-speed data-center interconnect market within five years (1.6T the remaining ~30%), and targets ~20% share of that segment over 3–4 years, equating to a </w:t>
      </w:r>
      <w:r>
        <w:rPr>
          <w:b/>
          <w:bCs/>
        </w:rPr>
        <w:t xml:space="preserve">self-disclosed $200–300M revenue target</w:t>
      </w:r>
      <w:r>
        <w:t xml:space="preserve"> for the DSP franchise. Its Keystone (5nm, 800G PAM4 DSP) product family alone is guided to </w:t>
      </w:r>
      <w:r>
        <w:rPr>
          <w:b/>
          <w:bCs/>
        </w:rPr>
        <w:t xml:space="preserve">$100–130M in 2026, up from $60–70M in 2025</w:t>
      </w:r>
      <w:r>
        <w:t xml:space="preserve">. No independent third-party TAM figure for the *total* optical-DSP/data-center-interconnect market was found and verified this pass — the numbers above are MaxLinear's own disclosed targets, not an external market-size estimate; stated as such rather than treated as a broader verified TAM. No verified TAM figure was found for the legacy Broadband/Connectivity businesses either.</w:t>
      </w:r>
    </w:p>
    <w:p>
      <w:pPr>
        <w:pStyle w:val="Heading2"/>
      </w:pPr>
      <w:r>
        <w:t xml:space="preserve">2. Routing</w:t>
      </w:r>
    </w:p>
    <w:p>
      <w:r>
        <w:rPr>
          <w:b/>
          <w:bCs/>
        </w:rPr>
        <w:t xml:space="preserve">Track B — SM (Semiconductors &amp; AI infrastructure), with an explicit split flag.</w:t>
      </w:r>
      <w:r>
        <w:t xml:space="preserve"> Approximately half of MXL's current revenue (Infrastructure, 50% in Q2 2026, driven by AI-datacenter optical DSPs) is genuine AI-infrastructure exposure and should be read on Track B/AI-secular multiples. The other half (Broadband/Connectivity/Industrial, ~50%) is legacy, cyclical, consumer/telecom-capex-exposed silicon that does not belong on the same multiple — broadband silicon demand tracks telecom operator capex cycles, not AI infrastructure buildout. Per the Semiconductor sector appendix's explicit rule ("never blend the multiples" across AI/data-centre vs. PC/mobile/consumer-exposed revenue), this valuation treats MXL as a blended, two-speed business rather than a pure AI-infrastructure name — a material difference from LITE, whose disclosed mix is essentially all optics/photonics.</w:t>
      </w:r>
    </w:p>
    <w:p>
      <w:pPr>
        <w:pStyle w:val="Heading2"/>
      </w:pPr>
      <w:r>
        <w:t xml:space="preserve">3. Categorization (Lynch)</w:t>
      </w:r>
    </w:p>
    <w:p>
      <w:r>
        <w:rPr>
          <w:b/>
          <w:bCs/>
        </w:rPr>
        <w:t xml:space="preserve">Turnaround, transitioning toward Fast Grower.</w:t>
      </w:r>
      <w:r>
        <w:t xml:space="preserve"> Revenue collapsed from $1,120.3M (FY22 peak) to $360.5M (FY24 trough, </w:t>
      </w:r>
      <w:r>
        <w:rPr>
          <w:b/>
          <w:bCs/>
        </w:rPr>
        <w:t xml:space="preserve">-68% peak-to-trough</w:t>
      </w:r>
      <w:r>
        <w:t xml:space="preserve">) during the broadband/connectivity inventory correction, then began recovering: FY25 $467.6M (+29.7%), and FY26 tracking toward ~$738M consensus (+58%+) on the AI-optics ramp. GAAP profitability only just returned in Q2 2026 after three consecutive loss years (FY23 -$0.91, FY24 -$2.93, FY25 -$1.58 diluted EPS). This is Lynch's Turnaround category by the textbook definition (depressed, recovering, debt load matters) rather than a clean Fast Grower — the AI-optics segment growth is fast-grower-shaped, but the company overall is still exiting a multi-year trough.</w:t>
      </w:r>
    </w:p>
    <w:p>
      <w:pPr>
        <w:pStyle w:val="Heading2"/>
      </w:pPr>
      <w:r>
        <w:t xml:space="preserve">4. Earnings Quality (Penman)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GAAP vs. non-GAAP</w:t>
      </w:r>
      <w:r>
        <w:t xml:space="preserve">: material and persistent gap. Q2 2026 GAAP EPS was +$0.02 vs. non-GAAP $0.35 — a 17x difference, implying heavy stock-based compensation and/or amortization add-backs are still doing most of the work in the non-GAAP figure. Three straight fiscal years (FY23–25) of GAAP losses (diluted EPS -$0.91, -$2.93, -$1.58) even as the company touted non-GAAP profitability in some of those same periods — a genuine, multi-year earnings-quality gap, not a one-quarter distortion.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Accrual ratio</w:t>
      </w:r>
      <w:r>
        <w:t xml:space="preserve">: not independently computable this pass — full operating-cash-flow and total-assets figures for the trailing period were not retrieved. Flagged unavailable rather than estimated.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RNOA vs. leverage</w:t>
      </w:r>
      <w:r>
        <w:t xml:space="preserve">: debt load is small and stable (term loan, $125.0M principal, $123.8M net carrying value as of March 31, 2026) against a $7.70B market cap — D/E, ROE, and RNOA should track closely; no evidence of leverage-driven ROE inflation.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Margin trend (actual figures)</w:t>
      </w:r>
      <w:r>
        <w:t xml:space="preserve">: GAAP gross margin 54.0% (FY24) → 56.8% (FY25) → 56.9%/57.6% (Q3/Q4 FY25) and non-GAAP 59.7% (FY24) → 59.3% (FY25), essentially flat-to-slightly-declining at the non-GAAP line even as the mix shifts toward the (nominally higher-value) Infrastructure segment — worth flagging as a mild tension, not a clean "AI mix improves margin" story yet.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Dilution</w:t>
      </w:r>
      <w:r>
        <w:t xml:space="preserve">: shares outstanding were not confirmed with full precision across all 5 years this pass; no unusual equity-raise event was found in the recent news search (no convertible-note issuance found, unlike LITE) — dilution risk here reads as lower than LITE's, though not independently confirmed as low.</w:t>
      </w:r>
    </w:p>
    <w:p>
      <w:pPr>
        <w:pStyle w:val="Heading2"/>
      </w:pPr>
      <w:r>
        <w:t xml:space="preserve">5. Valuation — DCF (Koller)</w:t>
      </w:r>
    </w:p>
    <w:p>
      <w:pPr>
        <w:pStyle w:val="Heading3"/>
      </w:pPr>
      <w:r>
        <w:t xml:space="preserve">WACC Construction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00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00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t xml:space="preserve">Risk-free rate (10Y UST)</w:t>
            </w:r>
          </w:p>
        </w:tc>
        <w:tc>
          <w:tcPr>
            <w:tcW w:type="dxa" w:w="3000"/>
          </w:tcPr>
          <w:p>
            <w:r>
              <w:t xml:space="preserve">4.95%</w:t>
            </w:r>
          </w:p>
        </w:tc>
        <w:tc>
          <w:tcPr>
            <w:tcW w:type="dxa" w:w="3000"/>
          </w:tcPr>
          <w:p>
            <w:r>
              <w:t xml:space="preserve">Today's macro pipeline read</w:t>
            </w:r>
          </w:p>
        </w:tc>
      </w:tr>
      <w:tr>
        <w:tc>
          <w:tcPr>
            <w:tcW w:type="dxa" w:w="3000"/>
          </w:tcPr>
          <w:p>
            <w:r>
              <w:t xml:space="preserve">Equity risk premium</w:t>
            </w:r>
          </w:p>
        </w:tc>
        <w:tc>
          <w:tcPr>
            <w:tcW w:type="dxa" w:w="3000"/>
          </w:tcPr>
          <w:p>
            <w:r>
              <w:t xml:space="preserve">4.5%</w:t>
            </w:r>
          </w:p>
        </w:tc>
        <w:tc>
          <w:tcPr>
            <w:tcW w:type="dxa" w:w="3000"/>
          </w:tcPr>
          <w:p>
            <w:r>
              <w:t xml:space="preserve">Damodaran implied, US</w:t>
            </w:r>
          </w:p>
        </w:tc>
      </w:tr>
      <w:tr>
        <w:tc>
          <w:tcPr>
            <w:tcW w:type="dxa" w:w="3000"/>
          </w:tcPr>
          <w:p>
            <w:r>
              <w:t xml:space="preserve">Beta</w:t>
            </w:r>
          </w:p>
        </w:tc>
        <w:tc>
          <w:tcPr>
            <w:tcW w:type="dxa" w:w="3000"/>
          </w:tcPr>
          <w:p>
            <w:r>
              <w:t xml:space="preserve">2.5 (blended estimate; sources conflict 1.70–3.95)</w:t>
            </w:r>
          </w:p>
        </w:tc>
        <w:tc>
          <w:tcPr>
            <w:tcW w:type="dxa" w:w="3000"/>
          </w:tcPr>
          <w:p>
            <w:r>
              <w:t xml:space="preserve">Weighted toward the higher/more recent reading given realized volatility (52wk range spans ~10x)</w:t>
            </w:r>
          </w:p>
        </w:tc>
      </w:tr>
      <w:tr>
        <w:tc>
          <w:tcPr>
            <w:tcW w:type="dxa" w:w="3000"/>
          </w:tcPr>
          <w:p>
            <w:r>
              <w:t xml:space="preserve">Cost of equity (Re)</w:t>
            </w:r>
          </w:p>
        </w:tc>
        <w:tc>
          <w:tcPr>
            <w:tcW w:type="dxa" w:w="3000"/>
          </w:tcPr>
          <w:p>
            <w:r>
              <w:t xml:space="preserve">4.95% + 2.5×4.5% = </w:t>
            </w:r>
            <w:r>
              <w:rPr>
                <w:b/>
                <w:bCs/>
              </w:rPr>
              <w:t xml:space="preserve">16.2%</w:t>
            </w:r>
          </w:p>
        </w:tc>
        <w:tc>
          <w:tcPr>
            <w:tcW w:type="dxa" w:w="3000"/>
          </w:tcPr>
          <w:p>
            <w:r>
              <w:t xml:space="preserve">CAPM</w:t>
            </w:r>
          </w:p>
        </w:tc>
      </w:tr>
      <w:tr>
        <w:tc>
          <w:tcPr>
            <w:tcW w:type="dxa" w:w="3000"/>
          </w:tcPr>
          <w:p>
            <w:r>
              <w:t xml:space="preserve">Cost of debt (pre-tax)</w:t>
            </w:r>
          </w:p>
        </w:tc>
        <w:tc>
          <w:tcPr>
            <w:tcW w:type="dxa" w:w="3000"/>
          </w:tcPr>
          <w:p>
            <w:r>
              <w:t xml:space="preserve">~6.0% [ESTIMATED — term loan rate not independently confirmed]</w:t>
            </w:r>
          </w:p>
        </w:tc>
        <w:tc>
          <w:tcPr>
            <w:tcW w:type="dxa" w:w="3000"/>
          </w:tcPr>
          <w:p>
            <w:r>
              <w:t xml:space="preserve">Small, fixed-principal term loan</w:t>
            </w:r>
          </w:p>
        </w:tc>
      </w:tr>
      <w:tr>
        <w:tc>
          <w:tcPr>
            <w:tcW w:type="dxa" w:w="3000"/>
          </w:tcPr>
          <w:p>
            <w:r>
              <w:t xml:space="preserve">D/V, E/V</w:t>
            </w:r>
          </w:p>
        </w:tc>
        <w:tc>
          <w:tcPr>
            <w:tcW w:type="dxa" w:w="3000"/>
          </w:tcPr>
          <w:p>
            <w:r>
              <w:t xml:space="preserve">~0.4% / ~99.6%</w:t>
            </w:r>
          </w:p>
        </w:tc>
        <w:tc>
          <w:tcPr>
            <w:tcW w:type="dxa" w:w="3000"/>
          </w:tcPr>
          <w:p>
            <w:r>
              <w:t xml:space="preserve">Term loan ($123.8M net) vs. market cap (~$7.70B) — capital structure is overwhelmingly equity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WACC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≈16.1%</w:t>
            </w:r>
          </w:p>
        </w:tc>
        <w:tc>
          <w:tcPr>
            <w:tcW w:type="dxa" w:w="3000"/>
          </w:tcPr>
          <w:p>
            <w:r>
              <w:t xml:space="preserve">Equity-dominated structure → WACC ≈ Re</w:t>
            </w:r>
          </w:p>
        </w:tc>
      </w:tr>
    </w:tbl>
    <w:p/>
    <w:p>
      <w:r>
        <w:rPr>
          <w:b/>
          <w:bCs/>
        </w:rPr>
        <w:t xml:space="preserve">Flag</w:t>
      </w:r>
      <w:r>
        <w:t xml:space="preserve">: this WACC sits well above the framework's "typical 8.5–11%" range — correctly so, given a genuinely elevated beta and small-cap volatility, not a stale-input error (the DCF red flag is for WACC *below* 7%).</w:t>
      </w:r>
    </w:p>
    <w:p>
      <w:pPr>
        <w:pStyle w:val="Heading3"/>
      </w:pPr>
      <w:r>
        <w:t xml:space="preserve">Bear / Base / Bull (7-year explicit forecast, FY27–FY33; g=3% terminal, Key Value Driver method)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25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25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25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</w:tcPr>
          <w:p>
            <w:r>
              <w:t xml:space="preserve">FY26 starting revenue</w:t>
            </w:r>
          </w:p>
        </w:tc>
        <w:tc>
          <w:tcPr>
            <w:tcW w:type="dxa" w:w="2250"/>
          </w:tcPr>
          <w:p>
            <w:r>
              <w:t xml:space="preserve">$700M (slight guide miss)</w:t>
            </w:r>
          </w:p>
        </w:tc>
        <w:tc>
          <w:tcPr>
            <w:tcW w:type="dxa" w:w="2250"/>
          </w:tcPr>
          <w:p>
            <w:r>
              <w:t xml:space="preserve">$738M (consensus)</w:t>
            </w:r>
          </w:p>
        </w:tc>
        <w:tc>
          <w:tcPr>
            <w:tcW w:type="dxa" w:w="2250"/>
          </w:tcPr>
          <w:p>
            <w:r>
              <w:t xml:space="preserve">$760M (beats guide)</w:t>
            </w:r>
          </w:p>
        </w:tc>
      </w:tr>
      <w:tr>
        <w:tc>
          <w:tcPr>
            <w:tcW w:type="dxa" w:w="2250"/>
          </w:tcPr>
          <w:p>
            <w:r>
              <w:t xml:space="preserve">Growth path</w:t>
            </w:r>
          </w:p>
        </w:tc>
        <w:tc>
          <w:tcPr>
            <w:tcW w:type="dxa" w:w="2250"/>
          </w:tcPr>
          <w:p>
            <w:r>
              <w:t xml:space="preserve">Decelerates fast; an outright AI-infra-digestion dip mid-period (per today's macro report's own Kindleberger Stage-4 semiconductor bubble-risk flag)</w:t>
            </w:r>
          </w:p>
        </w:tc>
        <w:tc>
          <w:tcPr>
            <w:tcW w:type="dxa" w:w="2250"/>
          </w:tcPr>
          <w:p>
            <w:r>
              <w:t xml:space="preserve">Moderating growth, no dip, converging toward high-single-digit by FY33</w:t>
            </w:r>
          </w:p>
        </w:tc>
        <w:tc>
          <w:tcPr>
            <w:tcW w:type="dxa" w:w="2250"/>
          </w:tcPr>
          <w:p>
            <w:r>
              <w:t xml:space="preserve">Sustained ramp toward MXL's own disclosed 20%-share/$200-300M DSP target, converging toward low-teens by FY33</w:t>
            </w:r>
          </w:p>
        </w:tc>
      </w:tr>
      <w:tr>
        <w:tc>
          <w:tcPr>
            <w:tcW w:type="dxa" w:w="2250"/>
          </w:tcPr>
          <w:p>
            <w:r>
              <w:t xml:space="preserve">Terminal NOPLAT margin</w:t>
            </w:r>
          </w:p>
        </w:tc>
        <w:tc>
          <w:tcPr>
            <w:tcW w:type="dxa" w:w="2250"/>
          </w:tcPr>
          <w:p>
            <w:r>
              <w:t xml:space="preserve">10%</w:t>
            </w:r>
          </w:p>
        </w:tc>
        <w:tc>
          <w:tcPr>
            <w:tcW w:type="dxa" w:w="2250"/>
          </w:tcPr>
          <w:p>
            <w:r>
              <w:t xml:space="preserve">17%</w:t>
            </w:r>
          </w:p>
        </w:tc>
        <w:tc>
          <w:tcPr>
            <w:tcW w:type="dxa" w:w="2250"/>
          </w:tcPr>
          <w:p>
            <w:r>
              <w:t xml:space="preserve">24%</w:t>
            </w:r>
          </w:p>
        </w:tc>
      </w:tr>
      <w:tr>
        <w:tc>
          <w:tcPr>
            <w:tcW w:type="dxa" w:w="2250"/>
          </w:tcPr>
          <w:p>
            <w:r>
              <w:t xml:space="preserve">Terminal ROIC</w:t>
            </w:r>
          </w:p>
        </w:tc>
        <w:tc>
          <w:tcPr>
            <w:tcW w:type="dxa" w:w="2250"/>
          </w:tcPr>
          <w:p>
            <w:r>
              <w:t xml:space="preserve">13% (barely above WACC — value-neutral-to-negative)</w:t>
            </w:r>
          </w:p>
        </w:tc>
        <w:tc>
          <w:tcPr>
            <w:tcW w:type="dxa" w:w="2250"/>
          </w:tcPr>
          <w:p>
            <w:r>
              <w:t xml:space="preserve">19%</w:t>
            </w:r>
          </w:p>
        </w:tc>
        <w:tc>
          <w:tcPr>
            <w:tcW w:type="dxa" w:w="2250"/>
          </w:tcPr>
          <w:p>
            <w:r>
              <w:t xml:space="preserve">26%</w:t>
            </w:r>
          </w:p>
        </w:tc>
      </w:tr>
      <w:tr>
        <w:tc>
          <w:tcPr>
            <w:tcW w:type="dxa" w:w="2250"/>
          </w:tcPr>
          <w:p>
            <w:r>
              <w:rPr>
                <w:b/>
                <w:bCs/>
              </w:rPr>
              <w:t xml:space="preserve">Per-share value</w:t>
            </w:r>
          </w:p>
        </w:tc>
        <w:tc>
          <w:tcPr>
            <w:tcW w:type="dxa" w:w="2250"/>
          </w:tcPr>
          <w:p>
            <w:r>
              <w:rPr>
                <w:b/>
                <w:bCs/>
              </w:rPr>
              <w:t xml:space="preserve">~$15</w:t>
            </w:r>
          </w:p>
        </w:tc>
        <w:tc>
          <w:tcPr>
            <w:tcW w:type="dxa" w:w="2250"/>
          </w:tcPr>
          <w:p>
            <w:r>
              <w:rPr>
                <w:b/>
                <w:bCs/>
              </w:rPr>
              <w:t xml:space="preserve">~$65</w:t>
            </w:r>
          </w:p>
        </w:tc>
        <w:tc>
          <w:tcPr>
            <w:tcW w:type="dxa" w:w="2250"/>
          </w:tcPr>
          <w:p>
            <w:r>
              <w:rPr>
                <w:b/>
                <w:bCs/>
              </w:rPr>
              <w:t xml:space="preserve">~$140</w:t>
            </w:r>
          </w:p>
        </w:tc>
      </w:tr>
    </w:tbl>
    <w:p/>
    <w:p>
      <w:r>
        <w:rPr>
          <w:b/>
          <w:bCs/>
        </w:rPr>
        <w:t xml:space="preserve">EV/Revenue cross-check (Benninga discipline)</w:t>
      </w:r>
      <w:r>
        <w:t xml:space="preserve">: current TTM EV/Revenue ≈ $7.75B / $568.9M (TTM revenue: Q3'25 $126.5M + Q4'25 $136.4M + Q1'26 $137.2M + Q2'26 $168.8M) ≈ </w:t>
      </w:r>
      <w:r>
        <w:rPr>
          <w:b/>
          <w:bCs/>
        </w:rPr>
        <w:t xml:space="preserve">13.6x</w:t>
      </w:r>
      <w:r>
        <w:t xml:space="preserve"> — extreme on a trailing basis. The Base-case DCF value ($65/share, ~$5.85B EV) implies a more moderate ~7.9x FY26 consensus revenue ($738M) — still a rich multiple, but a meaningfully different (and more defensible) read than the trailing 13.6x the market is currently paying.</w:t>
      </w:r>
    </w:p>
    <w:p>
      <w:r>
        <w:rPr>
          <w:b/>
          <w:bCs/>
        </w:rPr>
        <w:t xml:space="preserve">MoS Gate: NONE.</w:t>
      </w:r>
      <w:r>
        <w:t xml:space="preserve"> Current price ($85.98) sits </w:t>
      </w:r>
      <w:r>
        <w:rPr>
          <w:b/>
          <w:bCs/>
        </w:rPr>
        <w:t xml:space="preserve">between the Base ($65) and Bull ($140) cases</w:t>
      </w:r>
      <w:r>
        <w:t xml:space="preserve"> — not above Bull (unlike LITE and MU, which were both priced above their own Bull cases). This is a genuinely different, more moderate finding: the market isn't demanding flawless perpetual execution to justify today's price the way it is for LITE/MU, but the price still requires results meaningfully better than the Base case to be justified — MoS Gate NONE, not BASE, because price is still above Base.</w:t>
      </w:r>
    </w:p>
    <w:p>
      <w:r>
        <w:rPr>
          <w:b/>
          <w:bCs/>
        </w:rPr>
        <w:t xml:space="preserve">Caveat (DCF red-flag rule)</w:t>
      </w:r>
      <w:r>
        <w:t xml:space="preserve">: given MXL's minimal and only-just-inflecting profitable operating history, this DCF should be read with more than the usual caution and weighted alongside the EV/Revenue cross-check above, not relied on as a single-point answer.</w:t>
      </w:r>
    </w:p>
    <w:p>
      <w:pPr>
        <w:pStyle w:val="Heading2"/>
      </w:pPr>
      <w:r>
        <w:t xml:space="preserve">6. Mauboussin — Price-Implied Expectations</w:t>
      </w:r>
    </w:p>
    <w:p>
      <w:r>
        <w:t xml:space="preserve">At WACC 16.1%/g 3%, today's ~$7.70B EV requires sustained execution closer to the </w:t>
      </w:r>
      <w:r>
        <w:rPr>
          <w:b/>
          <w:bCs/>
        </w:rPr>
        <w:t xml:space="preserve">Bull</w:t>
      </w:r>
      <w:r>
        <w:t xml:space="preserve"> growth/margin path than the Base case — i.e., the market is already pricing in most of management's own disclosed best-case DSP-share target (20% of the 800G/1.6T interconnect market, $200–300M revenue from that franchise alone) actually landing, on top of continued Broadband/Connectivity stability. Per Mauboussin's base-rate discipline: a company whose revenue fell 68% peak-to-trough over FY22–24 being priced for a Bull-case, uninterrupted AI-infra ramp is a real tension — the base rate for "story stock priced for its best disclosed target" outcomes is not favorable, even when the underlying product cycle (800G/1.6T optical DSPs) is genuine.</w:t>
      </w:r>
    </w:p>
    <w:p>
      <w:r>
        <w:rPr>
          <w:b/>
          <w:bCs/>
        </w:rPr>
        <w:t xml:space="preserve">Moat/CAP</w:t>
      </w:r>
      <w:r>
        <w:t xml:space="preserve">: </w:t>
      </w:r>
      <w:r>
        <w:rPr>
          <w:b/>
          <w:bCs/>
        </w:rPr>
        <w:t xml:space="preserve">Cost/technology advantage</w:t>
      </w:r>
      <w:r>
        <w:t xml:space="preserve"> in a narrow product niche (PAM4 DSP + integrated VCSEL/laser drivers) — not network effects or switching costs. Historically narrow (3–7 years) given fast-moving optical-interconnect generations (400G→800G→1.6T) and credible competition (Marvell, Broadcom, and others also compete in PAM4 DSPs) — a 5-year CAP was used in the DCF above, at the lower end of "narrow moat," reflecting genuine technology-cycle risk rather than a durable structural edge.</w:t>
      </w:r>
    </w:p>
    <w:p>
      <w:pPr>
        <w:pStyle w:val="Heading2"/>
      </w:pPr>
      <w:r>
        <w:t xml:space="preserve">7. Fisher — Qualitative Checklist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#5/#6 (margins)</w:t>
      </w:r>
      <w:r>
        <w:t xml:space="preserve">: Mixed — non-GAAP gross margin is essentially flat-to-slightly-declining (59.7%→59.3%, FY24→FY25) even as AI-mix rises; not yet the clean "mix-driven margin expansion" story the AI narrative implies.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#9/#10 (management depth, cost/accounting control) — Silicon Motion context</w:t>
      </w:r>
      <w:r>
        <w:t xml:space="preserve">: MaxLinear terminated its ~$4B stock-and-cash acquisition of Silicon Motion in July 2023, citing a Material Adverse Effect; Silicon Motion disputes this and is pursuing arbitration (Singapore International Arbitration Centre) seeking the $160M termination fee *plus* additional damages. </w:t>
      </w:r>
      <w:r>
        <w:rPr>
          <w:b/>
          <w:bCs/>
        </w:rPr>
        <w:t xml:space="preserve">As of the most recent sources found (through 2025 SEC filings), this arbitration remains unresolved</w:t>
      </w:r>
      <w:r>
        <w:t xml:space="preserve"> — a live, multi-year contingent liability overhang that isn't fully quantifiable from public sources. This is directly relevant to Fisher's management-judgment points: walking from a transformative ~$4B deal after signing, and the resulting multi-year legal overhang, is a material governance/execution data point regardless of whether MaxLinear's MAE claim is ultimately vindicated.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#13 (dilution/capital allocation)</w:t>
      </w:r>
      <w:r>
        <w:t xml:space="preserve">: No major new dilutive financing found this pass (unlike LITE's convert-driven dilution) — tentatively a less severe concern here, though not fully confirmed across all 5 years.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#15 (management integrity/disclosure)</w:t>
      </w:r>
      <w:r>
        <w:t xml:space="preserve">: </w:t>
      </w:r>
      <w:r>
        <w:rPr>
          <w:b/>
          <w:bCs/>
        </w:rPr>
        <w:t xml:space="preserve">Negative signal</w:t>
      </w:r>
      <w:r>
        <w:t xml:space="preserve"> — insiders, led by the CEO, sold $60.6M over the trailing 12 months with zero offsetting purchases. Pre-planned 10b5-1 sales are a weaker signal than discretionary selling, but the one-sided, multi-insider pattern at a moment of maximum stock-price volatility/strength is worth weighting more than a single sale would be.</w:t>
      </w:r>
    </w:p>
    <w:p>
      <w:pPr>
        <w:pStyle w:val="Heading2"/>
      </w:pPr>
      <w:r>
        <w:t xml:space="preserve">8. Ilmanen — Factor Read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Value</w:t>
      </w:r>
      <w:r>
        <w:t xml:space="preserve">: Absent — TTM EV/Revenue ~13.6x on a business only just returning to GAAP profitability.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Quality/Profitability</w:t>
      </w:r>
      <w:r>
        <w:t xml:space="preserve">: Absent-to-mixed — three straight years of GAAP losses (FY23–25), non-GAAP gross margin flat-to-declining, RNOA/ROIC history dominated by the FY22–24 collapse.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Momentum</w:t>
      </w:r>
      <w:r>
        <w:t xml:space="preserve">: Present, extreme — stock hit an all-time high ($128.03) June 30, 2026, pulled back, then rose 6% on Sept 21 alone; 52-week range spans ~10x.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Low Beta/Defensive</w:t>
      </w:r>
      <w:r>
        <w:t xml:space="preserve">: Absent — beta estimates 1.70–3.95, among the more volatile large/mid-cap semiconductor names by any reading.</w:t>
      </w:r>
    </w:p>
    <w:p>
      <w:r>
        <w:rPr>
          <w:b/>
          <w:bCs/>
        </w:rPr>
        <w:t xml:space="preserve">Combined signal</w:t>
      </w:r>
      <w:r>
        <w:t xml:space="preserve">: a </w:t>
      </w:r>
      <w:r>
        <w:rPr>
          <w:b/>
          <w:bCs/>
        </w:rPr>
        <w:t xml:space="preserve">single-factor momentum bet</w:t>
      </w:r>
      <w:r>
        <w:t xml:space="preserve">, with no value or quality tailwind currently overlapping it — the same pattern found in LITE and MU this session, not unique to MXL.</w:t>
      </w:r>
    </w:p>
    <w:p>
      <w:pPr>
        <w:pStyle w:val="Heading2"/>
      </w:pPr>
      <w:r>
        <w:t xml:space="preserve">9. Quality Compounder Screen (Framework 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00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00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t xml:space="preserve">ROIC 5-yr average &gt;15%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3000"/>
          </w:tcPr>
          <w:p>
            <w:r>
              <w:t xml:space="preserve">FY23–24 collapse (revenue -38%, then -48%) dominates the 5-year average; only just returned to GAAP profit in Q2 2026</w:t>
            </w:r>
          </w:p>
        </w:tc>
      </w:tr>
      <w:tr>
        <w:tc>
          <w:tcPr>
            <w:tcW w:type="dxa" w:w="3000"/>
          </w:tcPr>
          <w:p>
            <w:r>
              <w:t xml:space="preserve">ROIC trend stable/improving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Pass (recent)</w:t>
            </w:r>
          </w:p>
        </w:tc>
        <w:tc>
          <w:tcPr>
            <w:tcW w:type="dxa" w:w="3000"/>
          </w:tcPr>
          <w:p>
            <w:r>
              <w:t xml:space="preserve">Clear inflection from FY24 trough (-28.4% operating margin) toward Q2 2026 GAAP profitability, though only 1-2 quarters of confirmed improvement</w:t>
            </w:r>
          </w:p>
        </w:tc>
      </w:tr>
      <w:tr>
        <w:tc>
          <w:tcPr>
            <w:tcW w:type="dxa" w:w="3000"/>
          </w:tcPr>
          <w:p>
            <w:r>
              <w:t xml:space="preserve">Operating margin &gt;15%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3000"/>
          </w:tcPr>
          <w:p>
            <w:r>
              <w:t xml:space="preserve">FY25 operating margin was still negative (-17.3%); non-GAAP profitability exists but GAAP operating margin has not cleared 15% in any of the last 4 fiscal years found</w:t>
            </w:r>
          </w:p>
        </w:tc>
      </w:tr>
      <w:tr>
        <w:tc>
          <w:tcPr>
            <w:tcW w:type="dxa" w:w="3000"/>
          </w:tcPr>
          <w:p>
            <w:r>
              <w:t xml:space="preserve">FCF conversion (FCF/NI) &gt;80%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Unavailable</w:t>
            </w:r>
          </w:p>
        </w:tc>
        <w:tc>
          <w:tcPr>
            <w:tcW w:type="dxa" w:w="3000"/>
          </w:tcPr>
          <w:p>
            <w:r>
              <w:t xml:space="preserve">FCF figures not independently retrieved this pass</w:t>
            </w:r>
          </w:p>
        </w:tc>
      </w:tr>
      <w:tr>
        <w:tc>
          <w:tcPr>
            <w:tcW w:type="dxa" w:w="3000"/>
          </w:tcPr>
          <w:p>
            <w:r>
              <w:t xml:space="preserve">CapEx intensity &lt;10%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Unavailable</w:t>
            </w:r>
          </w:p>
        </w:tc>
        <w:tc>
          <w:tcPr>
            <w:tcW w:type="dxa" w:w="3000"/>
          </w:tcPr>
          <w:p>
            <w:r>
              <w:t xml:space="preserve">Not retrieved this pass (fabless model — likely low, but not confirmed)</w:t>
            </w:r>
          </w:p>
        </w:tc>
      </w:tr>
      <w:tr>
        <w:tc>
          <w:tcPr>
            <w:tcW w:type="dxa" w:w="3000"/>
          </w:tcPr>
          <w:p>
            <w:r>
              <w:t xml:space="preserve">Self-funded growth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Pass (tentative)</w:t>
            </w:r>
          </w:p>
        </w:tc>
        <w:tc>
          <w:tcPr>
            <w:tcW w:type="dxa" w:w="3000"/>
          </w:tcPr>
          <w:p>
            <w:r>
              <w:t xml:space="preserve">No major new dilutive equity/convert financing found this pass, unlike LITE — not fully confirmed across all periods</w:t>
            </w:r>
          </w:p>
        </w:tc>
      </w:tr>
      <w:tr>
        <w:tc>
          <w:tcPr>
            <w:tcW w:type="dxa" w:w="3000"/>
          </w:tcPr>
          <w:p>
            <w:r>
              <w:t xml:space="preserve">Management equity ownership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Unavailable</w:t>
            </w:r>
          </w:p>
        </w:tc>
        <w:tc>
          <w:tcPr>
            <w:tcW w:type="dxa" w:w="3000"/>
          </w:tcPr>
          <w:p>
            <w:r>
              <w:t xml:space="preserve">Not retrieved this pass</w:t>
            </w:r>
          </w:p>
        </w:tc>
      </w:tr>
      <w:tr>
        <w:tc>
          <w:tcPr>
            <w:tcW w:type="dxa" w:w="3000"/>
          </w:tcPr>
          <w:p>
            <w:r>
              <w:t xml:space="preserve">Buyback discipline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Fail/Inapplicable</w:t>
            </w:r>
          </w:p>
        </w:tc>
        <w:tc>
          <w:tcPr>
            <w:tcW w:type="dxa" w:w="3000"/>
          </w:tcPr>
          <w:p>
            <w:r>
              <w:t xml:space="preserve">No buyback activity found; insiders are net sellers, not the company buying back stock</w:t>
            </w:r>
          </w:p>
        </w:tc>
      </w:tr>
      <w:tr>
        <w:tc>
          <w:tcPr>
            <w:tcW w:type="dxa" w:w="3000"/>
          </w:tcPr>
          <w:p>
            <w:r>
              <w:t xml:space="preserve">M&amp;A discipline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3000"/>
          </w:tcPr>
          <w:p>
            <w:r>
              <w:t xml:space="preserve">The Silicon Motion termination and unresolved multi-year arbitration is a direct negative data point on capital-allocation discipline and execution, regardless of the legal merits</w:t>
            </w:r>
          </w:p>
        </w:tc>
      </w:tr>
    </w:tbl>
    <w:p/>
    <w:p>
      <w:r>
        <w:rPr>
          <w:b/>
          <w:bCs/>
        </w:rPr>
        <w:t xml:space="preserve">Count: 2 pass (1 tentative) / 4 fail / 3 unavailable — does not clear the QUALITY bar (needs 4–6 clean passes).</w:t>
      </w:r>
    </w:p>
    <w:p>
      <w:r>
        <w:rPr>
          <w:b/>
          <w:bCs/>
        </w:rPr>
        <w:t xml:space="preserve">Verdict: TRADE ONLY.</w:t>
      </w:r>
      <w:r>
        <w:t xml:space="preserve"> No structural floor on the thesis; exit discipline (not applicable here, since this agent has none, but in spirit: no averaging down) is critical given both the weak Compounder screen and the recent, one-sided insider selling.</w:t>
      </w:r>
    </w:p>
    <w:p>
      <w:pPr>
        <w:pStyle w:val="Heading2"/>
      </w:pPr>
      <w:r>
        <w:t xml:space="preserve">10. Sector Appendix — Semiconductors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25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25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25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</w:tcPr>
          <w:p>
            <w:r>
              <w:t xml:space="preserve">Gross margin (fabless)</w:t>
            </w:r>
          </w:p>
        </w:tc>
        <w:tc>
          <w:tcPr>
            <w:tcW w:type="dxa" w:w="2250"/>
          </w:tcPr>
          <w:p>
            <w:r>
              <w:t xml:space="preserve">56.9–59.6% (GAAP/non-GAAP range, recent quarters)</w:t>
            </w:r>
          </w:p>
        </w:tc>
        <w:tc>
          <w:tcPr>
            <w:tcW w:type="dxa" w:w="2250"/>
          </w:tcPr>
          <w:p>
            <w:r>
              <w:t xml:space="preserve">Fabless &gt;55% strong</w:t>
            </w:r>
          </w:p>
        </w:tc>
        <w:tc>
          <w:tcPr>
            <w:tcW w:type="dxa" w:w="2250"/>
          </w:tcPr>
          <w:p>
            <w:r>
              <w:t xml:space="preserve">Clears the fabless-strong bar, though not expanding</w:t>
            </w:r>
          </w:p>
        </w:tc>
      </w:tr>
      <w:tr>
        <w:tc>
          <w:tcPr>
            <w:tcW w:type="dxa" w:w="2250"/>
          </w:tcPr>
          <w:p>
            <w:r>
              <w:t xml:space="preserve">Book-to-bill</w:t>
            </w:r>
          </w:p>
        </w:tc>
        <w:tc>
          <w:tcPr>
            <w:tcW w:type="dxa" w:w="2250"/>
          </w:tcPr>
          <w:p>
            <w:r>
              <w:rPr>
                <w:b/>
                <w:bCs/>
              </w:rPr>
              <w:t xml:space="preserve">Unavailable</w:t>
            </w:r>
            <w:r>
              <w:t xml:space="preserve"> — not found this pass</w:t>
            </w:r>
          </w:p>
        </w:tc>
        <w:tc>
          <w:tcPr>
            <w:tcW w:type="dxa" w:w="2250"/>
          </w:tcPr>
          <w:p>
            <w:r>
              <w:t xml:space="preserve">&gt;1.0 = demand growing</w:t>
            </w:r>
          </w:p>
        </w:tc>
        <w:tc>
          <w:tcPr>
            <w:tcW w:type="dxa" w:w="2250"/>
          </w:tcPr>
          <w:p>
            <w:r>
              <w:t xml:space="preserve">Not found</w:t>
            </w:r>
          </w:p>
        </w:tc>
      </w:tr>
      <w:tr>
        <w:tc>
          <w:tcPr>
            <w:tcW w:type="dxa" w:w="2250"/>
          </w:tcPr>
          <w:p>
            <w:r>
              <w:t xml:space="preserve">Inventory days</w:t>
            </w:r>
          </w:p>
        </w:tc>
        <w:tc>
          <w:tcPr>
            <w:tcW w:type="dxa" w:w="2250"/>
          </w:tcPr>
          <w:p>
            <w:r>
              <w:rPr>
                <w:b/>
                <w:bCs/>
              </w:rPr>
              <w:t xml:space="preserve">Unavailable</w:t>
            </w:r>
            <w:r>
              <w:t xml:space="preserve"> — not found this pass</w:t>
            </w:r>
          </w:p>
        </w:tc>
        <w:tc>
          <w:tcPr>
            <w:tcW w:type="dxa" w:w="2250"/>
          </w:tcPr>
          <w:p>
            <w:r>
              <w:t xml:space="preserve">Rising = weakness ahead</w:t>
            </w:r>
          </w:p>
        </w:tc>
        <w:tc>
          <w:tcPr>
            <w:tcW w:type="dxa" w:w="2250"/>
          </w:tcPr>
          <w:p>
            <w:r>
              <w:t xml:space="preserve">Not found</w:t>
            </w:r>
          </w:p>
        </w:tc>
      </w:tr>
      <w:tr>
        <w:tc>
          <w:tcPr>
            <w:tcW w:type="dxa" w:w="2250"/>
          </w:tcPr>
          <w:p>
            <w:r>
              <w:t xml:space="preserve">AI/data-centre revenue %</w:t>
            </w:r>
          </w:p>
        </w:tc>
        <w:tc>
          <w:tcPr>
            <w:tcW w:type="dxa" w:w="2250"/>
          </w:tcPr>
          <w:p>
            <w:r>
              <w:rPr>
                <w:b/>
                <w:bCs/>
              </w:rPr>
              <w:t xml:space="preserve">~50%</w:t>
            </w:r>
            <w:r>
              <w:t xml:space="preserve"> (Infrastructure segment, Q2 2026) — the cleanest disclosed split found across all three tickers analyzed this session</w:t>
            </w:r>
          </w:p>
        </w:tc>
        <w:tc>
          <w:tcPr>
            <w:tcW w:type="dxa" w:w="2250"/>
          </w:tcPr>
          <w:p>
            <w:r>
              <w:t xml:space="preserve">Critical split metric for semis</w:t>
            </w:r>
          </w:p>
        </w:tc>
        <w:tc>
          <w:tcPr>
            <w:tcW w:type="dxa" w:w="2250"/>
          </w:tcPr>
          <w:p>
            <w:r>
              <w:t xml:space="preserve">Genuinely mixed — not a pure-play, unlike LITE</w:t>
            </w:r>
          </w:p>
        </w:tc>
      </w:tr>
      <w:tr>
        <w:tc>
          <w:tcPr>
            <w:tcW w:type="dxa" w:w="2250"/>
          </w:tcPr>
          <w:p>
            <w:r>
              <w:t xml:space="preserve">Customer concentration</w:t>
            </w:r>
          </w:p>
        </w:tc>
        <w:tc>
          <w:tcPr>
            <w:tcW w:type="dxa" w:w="2250"/>
          </w:tcPr>
          <w:p>
            <w:r>
              <w:t xml:space="preserve">10 customers ≈60% of FY2024 revenue; management flags concentration rising further</w:t>
            </w:r>
          </w:p>
        </w:tc>
        <w:tc>
          <w:tcPr>
            <w:tcW w:type="dxa" w:w="2250"/>
          </w:tcPr>
          <w:p>
            <w:r>
              <w:t xml:space="preserve">&gt;20% single customer = key-man risk</w:t>
            </w:r>
          </w:p>
        </w:tc>
        <w:tc>
          <w:tcPr>
            <w:tcW w:type="dxa" w:w="2250"/>
          </w:tcPr>
          <w:p>
            <w:r>
              <w:t xml:space="preserve">Real and explicitly acknowledged as worsening risk by management itself</w:t>
            </w:r>
          </w:p>
        </w:tc>
      </w:tr>
      <w:tr>
        <w:tc>
          <w:tcPr>
            <w:tcW w:type="dxa" w:w="2250"/>
          </w:tcPr>
          <w:p>
            <w:r>
              <w:t xml:space="preserve">CapEx/revenue (fabless — n/a, no fabs)</w:t>
            </w:r>
          </w:p>
        </w:tc>
        <w:tc>
          <w:tcPr>
            <w:tcW w:type="dxa" w:w="2250"/>
          </w:tcPr>
          <w:p>
            <w:r>
              <w:t xml:space="preserve">Not applicable in the IDM sense; fabless opex intensity not independently retrieved</w:t>
            </w:r>
          </w:p>
        </w:tc>
        <w:tc>
          <w:tcPr>
            <w:tcW w:type="dxa" w:w="2250"/>
          </w:tcPr>
          <w:p>
            <w:r>
              <w:t xml:space="preserve">—</w:t>
            </w:r>
          </w:p>
        </w:tc>
        <w:tc>
          <w:tcPr>
            <w:tcW w:type="dxa" w:w="2250"/>
          </w:tcPr>
          <w:p>
            <w:r>
              <w:t xml:space="preserve">Not scored</w:t>
            </w:r>
          </w:p>
        </w:tc>
      </w:tr>
    </w:tbl>
    <w:p/>
    <w:p>
      <w:pPr>
        <w:pStyle w:val="Heading2"/>
      </w:pPr>
      <w:r>
        <w:t xml:space="preserve">11. Five-Year Ratio Trend Analysis</w:t>
      </w:r>
    </w:p>
    <w:p>
      <w:pPr>
        <w:pStyle w:val="Heading3"/>
      </w:pPr>
      <w:r>
        <w:t xml:space="preserve">Base Ratio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rPr>
          <w:tblHeader/>
        </w:trPr>
        <w:tc>
          <w:tcPr>
            <w:tcW w:type="dxa" w:w="1285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285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285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285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285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285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285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1285"/>
          </w:tcPr>
          <w:p>
            <w:r>
              <w:t xml:space="preserve">Revenue ($M)</w:t>
            </w:r>
          </w:p>
        </w:tc>
        <w:tc>
          <w:tcPr>
            <w:tcW w:type="dxa" w:w="1285"/>
          </w:tcPr>
          <w:p>
            <w:r>
              <w:t xml:space="preserve">892.4</w:t>
            </w:r>
          </w:p>
        </w:tc>
        <w:tc>
          <w:tcPr>
            <w:tcW w:type="dxa" w:w="1285"/>
          </w:tcPr>
          <w:p>
            <w:r>
              <w:t xml:space="preserve">1,120.3</w:t>
            </w:r>
          </w:p>
        </w:tc>
        <w:tc>
          <w:tcPr>
            <w:tcW w:type="dxa" w:w="1285"/>
          </w:tcPr>
          <w:p>
            <w:r>
              <w:t xml:space="preserve">693.3</w:t>
            </w:r>
          </w:p>
        </w:tc>
        <w:tc>
          <w:tcPr>
            <w:tcW w:type="dxa" w:w="1285"/>
          </w:tcPr>
          <w:p>
            <w:r>
              <w:t xml:space="preserve">360.5</w:t>
            </w:r>
          </w:p>
        </w:tc>
        <w:tc>
          <w:tcPr>
            <w:tcW w:type="dxa" w:w="1285"/>
          </w:tcPr>
          <w:p>
            <w:r>
              <w:t xml:space="preserve">467.6</w:t>
            </w:r>
          </w:p>
        </w:tc>
        <w:tc>
          <w:tcPr>
            <w:tcW w:type="dxa" w:w="1285"/>
          </w:tcPr>
          <w:p>
            <w:r>
              <w:t xml:space="preserve">568.9</w:t>
            </w:r>
          </w:p>
        </w:tc>
      </w:tr>
      <w:tr>
        <w:tc>
          <w:tcPr>
            <w:tcW w:type="dxa" w:w="1285"/>
          </w:tcPr>
          <w:p>
            <w:r>
              <w:t xml:space="preserve">Revenue growth YoY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t xml:space="preserve">+25.5%</w:t>
            </w:r>
          </w:p>
        </w:tc>
        <w:tc>
          <w:tcPr>
            <w:tcW w:type="dxa" w:w="1285"/>
          </w:tcPr>
          <w:p>
            <w:r>
              <w:t xml:space="preserve">-38.1%</w:t>
            </w:r>
          </w:p>
        </w:tc>
        <w:tc>
          <w:tcPr>
            <w:tcW w:type="dxa" w:w="1285"/>
          </w:tcPr>
          <w:p>
            <w:r>
              <w:t xml:space="preserve">-48.0%</w:t>
            </w:r>
          </w:p>
        </w:tc>
        <w:tc>
          <w:tcPr>
            <w:tcW w:type="dxa" w:w="1285"/>
          </w:tcPr>
          <w:p>
            <w:r>
              <w:t xml:space="preserve">+29.7%</w:t>
            </w:r>
          </w:p>
        </w:tc>
        <w:tc>
          <w:tcPr>
            <w:tcW w:type="dxa" w:w="1285"/>
          </w:tcPr>
          <w:p>
            <w:r>
              <w:t xml:space="preserve">— (mixed-quarter TTM, not a clean annual comp)</w:t>
            </w:r>
          </w:p>
        </w:tc>
      </w:tr>
      <w:tr>
        <w:tc>
          <w:tcPr>
            <w:tcW w:type="dxa" w:w="1285"/>
          </w:tcPr>
          <w:p>
            <w:r>
              <w:t xml:space="preserve">Gross margin (GAAP)</w:t>
            </w:r>
          </w:p>
        </w:tc>
        <w:tc>
          <w:tcPr>
            <w:tcW w:type="dxa" w:w="1285"/>
          </w:tcPr>
          <w:p>
            <w:r>
              <w:t xml:space="preserve">n/a — not retrieved</w:t>
            </w:r>
          </w:p>
        </w:tc>
        <w:tc>
          <w:tcPr>
            <w:tcW w:type="dxa" w:w="1285"/>
          </w:tcPr>
          <w:p>
            <w:r>
              <w:t xml:space="preserve">n/a — not retrieved</w:t>
            </w:r>
          </w:p>
        </w:tc>
        <w:tc>
          <w:tcPr>
            <w:tcW w:type="dxa" w:w="1285"/>
          </w:tcPr>
          <w:p>
            <w:r>
              <w:t xml:space="preserve">n/a — not retrieved</w:t>
            </w:r>
          </w:p>
        </w:tc>
        <w:tc>
          <w:tcPr>
            <w:tcW w:type="dxa" w:w="1285"/>
          </w:tcPr>
          <w:p>
            <w:r>
              <w:t xml:space="preserve">54.0%</w:t>
            </w:r>
          </w:p>
        </w:tc>
        <w:tc>
          <w:tcPr>
            <w:tcW w:type="dxa" w:w="1285"/>
          </w:tcPr>
          <w:p>
            <w:r>
              <w:t xml:space="preserve">56.8%</w:t>
            </w:r>
          </w:p>
        </w:tc>
        <w:tc>
          <w:tcPr>
            <w:tcW w:type="dxa" w:w="1285"/>
          </w:tcPr>
          <w:p>
            <w:r>
              <w:t xml:space="preserve">~57–58% (blended recent quarters)</w:t>
            </w:r>
          </w:p>
        </w:tc>
      </w:tr>
      <w:tr>
        <w:tc>
          <w:tcPr>
            <w:tcW w:type="dxa" w:w="1285"/>
          </w:tcPr>
          <w:p>
            <w:r>
              <w:t xml:space="preserve">Operating margin</w:t>
            </w:r>
          </w:p>
        </w:tc>
        <w:tc>
          <w:tcPr>
            <w:tcW w:type="dxa" w:w="1285"/>
          </w:tcPr>
          <w:p>
            <w:r>
              <w:t xml:space="preserve">n/a — not retrieved</w:t>
            </w:r>
          </w:p>
        </w:tc>
        <w:tc>
          <w:tcPr>
            <w:tcW w:type="dxa" w:w="1285"/>
          </w:tcPr>
          <w:p>
            <w:r>
              <w:t xml:space="preserve">-1.43%</w:t>
            </w:r>
          </w:p>
        </w:tc>
        <w:tc>
          <w:tcPr>
            <w:tcW w:type="dxa" w:w="1285"/>
          </w:tcPr>
          <w:p>
            <w:r>
              <w:t xml:space="preserve">-24.34%</w:t>
            </w:r>
          </w:p>
        </w:tc>
        <w:tc>
          <w:tcPr>
            <w:tcW w:type="dxa" w:w="1285"/>
          </w:tcPr>
          <w:p>
            <w:r>
              <w:t xml:space="preserve">-28.40%</w:t>
            </w:r>
          </w:p>
        </w:tc>
        <w:tc>
          <w:tcPr>
            <w:tcW w:type="dxa" w:w="1285"/>
          </w:tcPr>
          <w:p>
            <w:r>
              <w:t xml:space="preserve">-17.30%</w:t>
            </w:r>
          </w:p>
        </w:tc>
        <w:tc>
          <w:tcPr>
            <w:tcW w:type="dxa" w:w="1285"/>
          </w:tcPr>
          <w:p>
            <w:r>
              <w:t xml:space="preserve">Approaching breakeven (Q2'26 GAAP EPS +$0.02)</w:t>
            </w:r>
          </w:p>
        </w:tc>
      </w:tr>
      <w:tr>
        <w:tc>
          <w:tcPr>
            <w:tcW w:type="dxa" w:w="1285"/>
          </w:tcPr>
          <w:p>
            <w:r>
              <w:t xml:space="preserve">Net margin / diluted EPS</w:t>
            </w:r>
          </w:p>
        </w:tc>
        <w:tc>
          <w:tcPr>
            <w:tcW w:type="dxa" w:w="1285"/>
          </w:tcPr>
          <w:p>
            <w:r>
              <w:t xml:space="preserve">+$0.53 EPS</w:t>
            </w:r>
          </w:p>
        </w:tc>
        <w:tc>
          <w:tcPr>
            <w:tcW w:type="dxa" w:w="1285"/>
          </w:tcPr>
          <w:p>
            <w:r>
              <w:t xml:space="preserve">+$1.55 EPS</w:t>
            </w:r>
          </w:p>
        </w:tc>
        <w:tc>
          <w:tcPr>
            <w:tcW w:type="dxa" w:w="1285"/>
          </w:tcPr>
          <w:p>
            <w:r>
              <w:t xml:space="preserve">-$0.91 EPS</w:t>
            </w:r>
          </w:p>
        </w:tc>
        <w:tc>
          <w:tcPr>
            <w:tcW w:type="dxa" w:w="1285"/>
          </w:tcPr>
          <w:p>
            <w:r>
              <w:t xml:space="preserve">-$2.93 EPS</w:t>
            </w:r>
          </w:p>
        </w:tc>
        <w:tc>
          <w:tcPr>
            <w:tcW w:type="dxa" w:w="1285"/>
          </w:tcPr>
          <w:p>
            <w:r>
              <w:t xml:space="preserve">-$1.58 EPS</w:t>
            </w:r>
          </w:p>
        </w:tc>
        <w:tc>
          <w:tcPr>
            <w:tcW w:type="dxa" w:w="1285"/>
          </w:tcPr>
          <w:p>
            <w:r>
              <w:t xml:space="preserve">Q2'26 alone: +$0.02 EPS</w:t>
            </w:r>
          </w:p>
        </w:tc>
      </w:tr>
      <w:tr>
        <w:tc>
          <w:tcPr>
            <w:tcW w:type="dxa" w:w="1285"/>
          </w:tcPr>
          <w:p>
            <w:r>
              <w:t xml:space="preserve">ROE</w:t>
            </w:r>
          </w:p>
        </w:tc>
        <w:tc>
          <w:tcPr>
            <w:tcW w:type="dxa" w:w="1285"/>
          </w:tcPr>
          <w:p>
            <w:r>
              <w:t xml:space="preserve">n/m (positive but not independently quantified)</w:t>
            </w:r>
          </w:p>
        </w:tc>
        <w:tc>
          <w:tcPr>
            <w:tcW w:type="dxa" w:w="1285"/>
          </w:tcPr>
          <w:p>
            <w:r>
              <w:t xml:space="preserve">n/m (positive)</w:t>
            </w:r>
          </w:p>
        </w:tc>
        <w:tc>
          <w:tcPr>
            <w:tcW w:type="dxa" w:w="1285"/>
          </w:tcPr>
          <w:p>
            <w:r>
              <w:t xml:space="preserve">n/m (negative)</w:t>
            </w:r>
          </w:p>
        </w:tc>
        <w:tc>
          <w:tcPr>
            <w:tcW w:type="dxa" w:w="1285"/>
          </w:tcPr>
          <w:p>
            <w:r>
              <w:t xml:space="preserve">n/m (deeply negative)</w:t>
            </w:r>
          </w:p>
        </w:tc>
        <w:tc>
          <w:tcPr>
            <w:tcW w:type="dxa" w:w="1285"/>
          </w:tcPr>
          <w:p>
            <w:r>
              <w:t xml:space="preserve">n/m (negative)</w:t>
            </w:r>
          </w:p>
        </w:tc>
        <w:tc>
          <w:tcPr>
            <w:tcW w:type="dxa" w:w="1285"/>
          </w:tcPr>
          <w:p>
            <w:r>
              <w:t xml:space="preserve">n/m — inflecting</w:t>
            </w:r>
          </w:p>
        </w:tc>
      </w:tr>
      <w:tr>
        <w:tc>
          <w:tcPr>
            <w:tcW w:type="dxa" w:w="1285"/>
          </w:tcPr>
          <w:p>
            <w:r>
              <w:t xml:space="preserve">P/E</w:t>
            </w:r>
          </w:p>
        </w:tc>
        <w:tc>
          <w:tcPr>
            <w:tcW w:type="dxa" w:w="1285"/>
          </w:tcPr>
          <w:p>
            <w:r>
              <w:t xml:space="preserve">n/a — FY-end price not confirmed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n/m (loss)</w:t>
            </w:r>
          </w:p>
        </w:tc>
        <w:tc>
          <w:tcPr>
            <w:tcW w:type="dxa" w:w="1285"/>
          </w:tcPr>
          <w:p>
            <w:r>
              <w:t xml:space="preserve">n/m (loss)</w:t>
            </w:r>
          </w:p>
        </w:tc>
        <w:tc>
          <w:tcPr>
            <w:tcW w:type="dxa" w:w="1285"/>
          </w:tcPr>
          <w:p>
            <w:r>
              <w:t xml:space="preserve">n/m (loss)</w:t>
            </w:r>
          </w:p>
        </w:tc>
        <w:tc>
          <w:tcPr>
            <w:tcW w:type="dxa" w:w="1285"/>
          </w:tcPr>
          <w:p>
            <w:r>
              <w:t xml:space="preserve">n/m (TTM GAAP near-breakeven)</w:t>
            </w:r>
          </w:p>
        </w:tc>
      </w:tr>
      <w:tr>
        <w:tc>
          <w:tcPr>
            <w:tcW w:type="dxa" w:w="1285"/>
          </w:tcPr>
          <w:p>
            <w:r>
              <w:t xml:space="preserve">P/S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~13.5x (current mkt cap / TTM revenue)</w:t>
            </w:r>
          </w:p>
        </w:tc>
      </w:tr>
      <w:tr>
        <w:tc>
          <w:tcPr>
            <w:tcW w:type="dxa" w:w="1285"/>
          </w:tcPr>
          <w:p>
            <w:r>
              <w:t xml:space="preserve">P/B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Not retrieved</w:t>
            </w:r>
          </w:p>
        </w:tc>
      </w:tr>
      <w:tr>
        <w:tc>
          <w:tcPr>
            <w:tcW w:type="dxa" w:w="1285"/>
          </w:tcPr>
          <w:p>
            <w:r>
              <w:t xml:space="preserve">EV/Revenue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~13.6x</w:t>
            </w:r>
          </w:p>
        </w:tc>
      </w:tr>
      <w:tr>
        <w:tc>
          <w:tcPr>
            <w:tcW w:type="dxa" w:w="1285"/>
          </w:tcPr>
          <w:p>
            <w:r>
              <w:t xml:space="preserve">EV/EBITDA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Not retrieved — TTM EBITDA not independently confirmed</w:t>
            </w:r>
          </w:p>
        </w:tc>
      </w:tr>
      <w:tr>
        <w:tc>
          <w:tcPr>
            <w:tcW w:type="dxa" w:w="1285"/>
          </w:tcPr>
          <w:p>
            <w:r>
              <w:t xml:space="preserve">Debt/Equity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0.33 (Q2 2026)</w:t>
            </w:r>
          </w:p>
        </w:tc>
      </w:tr>
      <w:tr>
        <w:tc>
          <w:tcPr>
            <w:tcW w:type="dxa" w:w="1285"/>
          </w:tcPr>
          <w:p>
            <w:r>
              <w:t xml:space="preserve">Net cash/(net debt), $M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~-$30M (cash $93.7M vs. term loan $123.8M)</w:t>
            </w:r>
          </w:p>
        </w:tc>
      </w:tr>
      <w:tr>
        <w:tc>
          <w:tcPr>
            <w:tcW w:type="dxa" w:w="1285"/>
          </w:tcPr>
          <w:p>
            <w:r>
              <w:t xml:space="preserve">FCF margin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Not retrieved</w:t>
            </w:r>
          </w:p>
        </w:tc>
      </w:tr>
    </w:tbl>
    <w:p/>
    <w:p>
      <w:r>
        <w:t xml:space="preserve">*Historical FY-end share prices and several balance-sheet/cash-flow lines were not independently confirmed this pass and are left as n/a rather than estimated, per the agent's own rule. This is a materially thinner historical table than LITE's or MU's — a genuine data-availability gap for a smaller-cap name with a less widely covered financial history, not a methodological shortcut.*</w:t>
      </w:r>
    </w:p>
    <w:p>
      <w:pPr>
        <w:pStyle w:val="Heading3"/>
      </w:pPr>
      <w:r>
        <w:t xml:space="preserve">Sector-Specific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25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25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25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</w:tcPr>
          <w:p>
            <w:r>
              <w:t xml:space="preserve">Gross margin (non-GAAP)</w:t>
            </w:r>
          </w:p>
        </w:tc>
        <w:tc>
          <w:tcPr>
            <w:tcW w:type="dxa" w:w="2250"/>
          </w:tcPr>
          <w:p>
            <w:r>
              <w:t xml:space="preserve">59.7%</w:t>
            </w:r>
          </w:p>
        </w:tc>
        <w:tc>
          <w:tcPr>
            <w:tcW w:type="dxa" w:w="2250"/>
          </w:tcPr>
          <w:p>
            <w:r>
              <w:t xml:space="preserve">59.3%</w:t>
            </w:r>
          </w:p>
        </w:tc>
        <w:tc>
          <w:tcPr>
            <w:tcW w:type="dxa" w:w="2250"/>
          </w:tcPr>
          <w:p>
            <w:r>
              <w:t xml:space="preserve">~58.5–60% guided</w:t>
            </w:r>
          </w:p>
        </w:tc>
      </w:tr>
      <w:tr>
        <w:tc>
          <w:tcPr>
            <w:tcW w:type="dxa" w:w="2250"/>
          </w:tcPr>
          <w:p>
            <w:r>
              <w:t xml:space="preserve">AI/data-centre (Infrastructure) mix</w:t>
            </w:r>
          </w:p>
        </w:tc>
        <w:tc>
          <w:tcPr>
            <w:tcW w:type="dxa" w:w="2250"/>
          </w:tcPr>
          <w:p>
            <w:r>
              <w:t xml:space="preserve">Not disclosed at this granularity</w:t>
            </w:r>
          </w:p>
        </w:tc>
        <w:tc>
          <w:tcPr>
            <w:tcW w:type="dxa" w:w="2250"/>
          </w:tcPr>
          <w:p>
            <w:r>
              <w:t xml:space="preserve">Not disclosed at this granularity</w:t>
            </w:r>
          </w:p>
        </w:tc>
        <w:tc>
          <w:tcPr>
            <w:tcW w:type="dxa" w:w="2250"/>
          </w:tcPr>
          <w:p>
            <w:r>
              <w:t xml:space="preserve">~50% (Q2 2026)</w:t>
            </w:r>
          </w:p>
        </w:tc>
      </w:tr>
      <w:tr>
        <w:tc>
          <w:tcPr>
            <w:tcW w:type="dxa" w:w="2250"/>
          </w:tcPr>
          <w:p>
            <w:r>
              <w:t xml:space="preserve">Customer concentration (top 10)</w:t>
            </w:r>
          </w:p>
        </w:tc>
        <w:tc>
          <w:tcPr>
            <w:tcW w:type="dxa" w:w="2250"/>
          </w:tcPr>
          <w:p>
            <w:r>
              <w:t xml:space="preserve">~60%</w:t>
            </w:r>
          </w:p>
        </w:tc>
        <w:tc>
          <w:tcPr>
            <w:tcW w:type="dxa" w:w="2250"/>
          </w:tcPr>
          <w:p>
            <w:r>
              <w:t xml:space="preserve">Not re-confirmed</w:t>
            </w:r>
          </w:p>
        </w:tc>
        <w:tc>
          <w:tcPr>
            <w:tcW w:type="dxa" w:w="2250"/>
          </w:tcPr>
          <w:p>
            <w:r>
              <w:t xml:space="preserve">Rising, per management commentary</w:t>
            </w:r>
          </w:p>
        </w:tc>
      </w:tr>
    </w:tbl>
    <w:p/>
    <w:p>
      <w:pPr>
        <w:pStyle w:val="Heading3"/>
      </w:pPr>
      <w:r>
        <w:t xml:space="preserve">Interpretation</w:t>
      </w:r>
    </w:p>
    <w:p>
      <w:pPr>
        <w:pStyle w:val="ListParagraph"/>
        <w:numPr>
          <w:ilvl w:val="0"/>
          <w:numId w:val="1"/>
        </w:numPr>
      </w:pPr>
      <w:r>
        <w:t xml:space="preserve">The revenue-growth row is the whole story: </w:t>
      </w:r>
      <w:r>
        <w:rPr>
          <w:b/>
          <w:bCs/>
        </w:rPr>
        <w:t xml:space="preserve">-38.1% (FY23) then -48.0% (FY24)</w:t>
      </w:r>
      <w:r>
        <w:t xml:space="preserve"> is one of the sharpest two-year revenue collapses of any name reviewed this session, followed by a sharp V-shaped recovery — this is the hard number behind the Lynch "Turnaround" categorization in Section 3, not a smooth Fast Grower profile.</w:t>
      </w:r>
    </w:p>
    <w:p>
      <w:pPr>
        <w:pStyle w:val="ListParagraph"/>
        <w:numPr>
          <w:ilvl w:val="0"/>
          <w:numId w:val="1"/>
        </w:numPr>
      </w:pPr>
      <w:r>
        <w:t xml:space="preserve">The EPS row (+$0.53 → +$1.55 → </w:t>
      </w:r>
      <w:r>
        <w:rPr>
          <w:b/>
          <w:bCs/>
        </w:rPr>
        <w:t xml:space="preserve">-$0.91 → -$2.93 → -$1.58</w:t>
      </w:r>
      <w:r>
        <w:t xml:space="preserve"> → barely positive again) is the same collapse shown at the bottom line — three consecutive loss years is a real earnings-quality/going-concern-adjacent stress test that LITE and MU, both of which stayed non-GAAP-profitable throughout their own down-cycles, did not go through as severely.</w:t>
      </w:r>
    </w:p>
    <w:p>
      <w:pPr>
        <w:pStyle w:val="ListParagraph"/>
        <w:numPr>
          <w:ilvl w:val="0"/>
          <w:numId w:val="1"/>
        </w:numPr>
      </w:pPr>
      <w:r>
        <w:t xml:space="preserve">Non-GAAP gross margin </w:t>
      </w:r>
      <w:r>
        <w:rPr>
          <w:b/>
          <w:bCs/>
        </w:rPr>
        <w:t xml:space="preserve">declining slightly</w:t>
      </w:r>
      <w:r>
        <w:t xml:space="preserve"> (59.7%→59.3%) even as the AI-Infrastructure mix rose toward 50% is a genuine tension with the Fisher #5/#6 finding in Section 7 — the AI narrative implies margin expansion from mix-shift that the two available data points don't yet confirm.</w:t>
      </w:r>
    </w:p>
    <w:p>
      <w:pPr>
        <w:pStyle w:val="Heading2"/>
      </w:pPr>
      <w:r>
        <w:t xml:space="preserve">12. Final Verdict</w:t>
      </w:r>
    </w:p>
    <w:p>
      <w:r>
        <w:rPr>
          <w:rFonts w:ascii="Consolas" w:cs="Consolas" w:eastAsia="Consolas" w:hAnsi="Consolas"/>
          <w:sz w:val="18"/>
          <w:szCs w:val="18"/>
        </w:rPr>
        <w:t xml:space="preserve">MXL | B-SM (split: ~50% AI-infra, ~50% legacy broadband/connectivity) | Turnaround-&gt;FastGrower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DCF Bear-Base-Bull: $15 / $65 / $140 | MoS Gate: NONE (price between Base and Bull)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Compounder: TRADE ONLY | AI Impact: TAILWIND (Infrastructure segment only — HEADWIND-neutral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for the legacy Broadband/Connectivity half, which is not AI-exposed)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Horizon: N/A (TRADE ONLY — no structural floor for a no-stop position)</w:t>
      </w:r>
    </w:p>
    <w:p>
      <w:r>
        <w:rPr>
          <w:rFonts w:ascii="Consolas" w:cs="Consolas" w:eastAsia="Consolas" w:hAnsi="Consolas"/>
          <w:sz w:val="18"/>
          <w:szCs w:val="18"/>
        </w:rPr>
        <w:t xml:space="preserve">Thesis Invalidation: Infrastructure/optical-DSP revenue growth decelerating below the</w:t>
      </w:r>
    </w:p>
    <w:p>
      <w:r>
        <w:rPr>
          <w:rFonts w:ascii="Consolas" w:cs="Consolas" w:eastAsia="Consolas" w:hAnsi="Consolas"/>
          <w:sz w:val="18"/>
          <w:szCs w:val="18"/>
        </w:rPr>
        <w:t xml:space="preserve">guided pace without a reacceleration catalyst, non-GAAP gross margin failing to expand</w:t>
      </w:r>
    </w:p>
    <w:p>
      <w:r>
        <w:rPr>
          <w:rFonts w:ascii="Consolas" w:cs="Consolas" w:eastAsia="Consolas" w:hAnsi="Consolas"/>
          <w:sz w:val="18"/>
          <w:szCs w:val="18"/>
        </w:rPr>
        <w:t xml:space="preserve">as AI mix rises, the Silicon Motion arbitration resolving materially against MaxLinear,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or a reversal of the one-sided insider-selling pattern (either would change, not confirm, the thesis)</w:t>
      </w:r>
    </w:p>
    <w:p>
      <w:r>
        <w:rPr>
          <w:b/>
          <w:bCs/>
        </w:rPr>
        <w:t xml:space="preserve">Summary</w:t>
      </w:r>
      <w:r>
        <w:t xml:space="preserve">: MXL is genuinely mid-transition — half AI-infrastructure growth story (Keystone/800G-1.6T optical DSPs, +145% YoY Infrastructure growth), half legacy cyclical broadband/connectivity silicon still recovering from a brutal FY22–24 collapse (-68% peak-to-trough revenue, three straight GAAP loss years). Unlike LITE and MU, today's price does *not* sit above even the Bull-case DCF — it sits between Base and Bull, a genuinely more moderate (though still expensive-on-a-trailing-multiple) finding. What has to be true: the AI-optics ramp continues near its Bull trajectory while the legacy business stabilizes, non-GAAP margins actually expand as management's own AI-mix narrative implies (not yet confirmed in the data), and the unresolved multi-year Silicon Motion arbitration doesn't produce a material adverse judgment. The single data point most likely to move this verdict either way: Q3 2026 results (guided $210–220M revenue, ~60% non-GAAP gross margin) — the first quarter after the +130-145%-YoY-Infrastructure-growth inflection either confirming durability or showing the first signs of digestion.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2026-09-22T16:30:34.221Z</dcterms:created>
  <dcterms:modified xsi:type="dcterms:W3CDTF">2026-09-22T16:30:34.228Z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