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SNEX — StoneX Group Inc. — Long-Term Deep-Dive</w:t>
      </w:r>
    </w:p>
    <w:p>
      <w:r>
        <w:t xml:space="preserve">Date: 2026-09-25 | Price: $69.52 / €61.04 (close Sept 24, 2026; EUR/USD 1.139) | Shares out: ~120.6M (after two 3-for-2 splits in 2026) | Market cap: ~$8.38B / €7.36B | Book value/share: $23.70 (Jun 30, 2026) | Next earnings: FQ4-26, ~Nov 23, 2026</w:t>
      </w:r>
    </w:p>
    <w:p>
      <w:r>
        <w:t xml:space="preserve">[FUNDAMENTAL DATA MISSING — SNEX is not in ./data/fundamental_data.json (outside the /scan universe). Figures come from StoneX's FQ3-26 8-K (Aug 6, 2026), SEC filings on the R.J. O'Brien deal and the 2026 stock splits, and yfinance, each dated where used.]</w:t>
      </w:r>
    </w:p>
    <w:p>
      <w:r>
        <w:rPr>
          <w:b/>
          <w:bCs/>
        </w:rPr>
        <w:t xml:space="preserve">Macro backdrop</w:t>
      </w:r>
      <w:r>
        <w:t xml:space="preserve"> (from macro_report_2026-09-24):</w:t>
      </w:r>
    </w:p>
    <w:p>
      <w:pPr>
        <w:pStyle w:val="ListParagraph"/>
        <w:numPr>
          <w:ilvl w:val="0"/>
          <w:numId w:val="1"/>
        </w:numPr>
      </w:pPr>
      <w:r>
        <w:t xml:space="preserve">REFLATION, HIGH confidence. 10Y UST 5.14%, the highest since 2007.</w:t>
      </w:r>
    </w:p>
    <w:p>
      <w:pPr>
        <w:pStyle w:val="ListParagraph"/>
        <w:numPr>
          <w:ilvl w:val="0"/>
          <w:numId w:val="1"/>
        </w:numPr>
      </w:pPr>
      <w:r>
        <w:t xml:space="preserve">Markets price ~73% odds of an October Fed hike.</w:t>
      </w:r>
    </w:p>
    <w:p>
      <w:pPr>
        <w:pStyle w:val="ListParagraph"/>
        <w:numPr>
          <w:ilvl w:val="0"/>
          <w:numId w:val="1"/>
        </w:numPr>
      </w:pPr>
      <w:r>
        <w:t xml:space="preserve">Late cycle, with the CYCLE OVERRIDE active.</w:t>
      </w:r>
    </w:p>
    <w:p>
      <w:r>
        <w:rPr>
          <w:b/>
          <w:bCs/>
        </w:rPr>
        <w:t xml:space="preserve">Bottom line up front: QUALITY, MoS Gate BASE</w:t>
      </w:r>
      <w:r>
        <w:t xml:space="preserve"> (at a 9.5% cost of equity).</w:t>
      </w:r>
    </w:p>
    <w:p>
      <w:pPr>
        <w:pStyle w:val="ListParagraph"/>
        <w:numPr>
          <w:ilvl w:val="0"/>
          <w:numId w:val="1"/>
        </w:numPr>
      </w:pPr>
      <w:r>
        <w:t xml:space="preserve">$69.52 sits between the Bear ($39.5 / €34.7) and Base ($80.0 / €70.2) excess-return values.</w:t>
      </w:r>
    </w:p>
    <w:p>
      <w:pPr>
        <w:pStyle w:val="ListParagraph"/>
        <w:numPr>
          <w:ilvl w:val="0"/>
          <w:numId w:val="1"/>
        </w:numPr>
      </w:pPr>
      <w:r>
        <w:t xml:space="preserve">The price implies ROE fading from ~19% to ~13%. Today's TTM ROE is 20.8% and ROTE is 25%.</w:t>
      </w:r>
    </w:p>
    <w:p>
      <w:pPr>
        <w:pStyle w:val="ListParagraph"/>
        <w:numPr>
          <w:ilvl w:val="0"/>
          <w:numId w:val="1"/>
        </w:numPr>
      </w:pPr>
      <w:r>
        <w:t xml:space="preserve">StoneX is the rare name whose earnings </w:t>
      </w:r>
      <w:r>
        <w:rPr>
          <w:b/>
          <w:bCs/>
        </w:rPr>
        <w:t xml:space="preserve">improve</w:t>
      </w:r>
      <w:r>
        <w:t xml:space="preserve"> in this macro regime:</w:t>
      </w:r>
    </w:p>
    <w:p>
      <w:r>
        <w:t xml:space="preserve">  - +100bp in rates adds ~$0.38/share after tax.</w:t>
      </w:r>
    </w:p>
    <w:p>
      <w:r>
        <w:t xml:space="preserve">  - Reflation-era commodity volatility drives its largest segment (Commercial, +90% y/y).</w:t>
      </w:r>
    </w:p>
    <w:p>
      <w:pPr>
        <w:pStyle w:val="ListParagraph"/>
        <w:numPr>
          <w:ilvl w:val="0"/>
          <w:numId w:val="1"/>
        </w:numPr>
      </w:pPr>
      <w:r>
        <w:t xml:space="preserve">The weak spots:</w:t>
      </w:r>
    </w:p>
    <w:p>
      <w:r>
        <w:t xml:space="preserve">  - Mid-single-digit annual dilution.</w:t>
      </w:r>
    </w:p>
    <w:p>
      <w:r>
        <w:t xml:space="preserve">  - No buybacks.</w:t>
      </w:r>
    </w:p>
    <w:p>
      <w:r>
        <w:t xml:space="preserve">  - Earnings leverage to rates that runs just as hard in reverse.</w:t>
      </w:r>
    </w:p>
    <w:p>
      <w:r>
        <w:t xml:space="preserve">  - The Base-case gate fails at a 10.5% cost of equity.</w:t>
      </w:r>
    </w:p>
    <w:p>
      <w:pPr>
        <w:pStyle w:val="Heading2"/>
        <w:spacing w:after="120" w:before="240"/>
      </w:pPr>
      <w:r>
        <w:t xml:space="preserve">0. Recent Context</w:t>
      </w:r>
    </w:p>
    <w:p>
      <w:r>
        <w:rPr>
          <w:b/>
          <w:bCs/>
        </w:rPr>
        <w:t xml:space="preserve">Last reported quarter: FQ3-26 (quarter ended Jun 30, 2026), reported Aug 6, 2026</w:t>
      </w:r>
      <w:r>
        <w:t xml:space="preserve"> (source: StoneX 8-K/press release)</w:t>
      </w:r>
    </w:p>
    <w:p>
      <w:r>
        <w:t xml:space="preserve">Headline results:</w:t>
      </w:r>
    </w:p>
    <w:p>
      <w:pPr>
        <w:pStyle w:val="ListParagraph"/>
        <w:numPr>
          <w:ilvl w:val="0"/>
          <w:numId w:val="1"/>
        </w:numPr>
      </w:pPr>
      <w:r>
        <w:t xml:space="preserve">Operating revenues $1,468.0M, up from $1,024.3M (+43% YoY).</w:t>
      </w:r>
    </w:p>
    <w:p>
      <w:pPr>
        <w:pStyle w:val="ListParagraph"/>
        <w:numPr>
          <w:ilvl w:val="0"/>
          <w:numId w:val="1"/>
        </w:numPr>
      </w:pPr>
      <w:r>
        <w:t xml:space="preserve">Net operating revenues $719.7M, up from $488.3M (+47% YoY). Sequentially, net operating revenues fell 13% QoQ.</w:t>
      </w:r>
    </w:p>
    <w:p>
      <w:pPr>
        <w:pStyle w:val="ListParagraph"/>
        <w:numPr>
          <w:ilvl w:val="0"/>
          <w:numId w:val="1"/>
        </w:numPr>
      </w:pPr>
      <w:r>
        <w:t xml:space="preserve">Net income $127.9M, up from $63.4M (+102% YoY). Sequentially, net income fell 27% QoQ, from $174.3M in FQ2-26.</w:t>
      </w:r>
    </w:p>
    <w:p>
      <w:pPr>
        <w:pStyle w:val="ListParagraph"/>
        <w:numPr>
          <w:ilvl w:val="0"/>
          <w:numId w:val="1"/>
        </w:numPr>
      </w:pPr>
      <w:r>
        <w:t xml:space="preserve">Diluted EPS $1.00, up from $0.54 (+85% YoY). This </w:t>
      </w:r>
      <w:r>
        <w:rPr>
          <w:b/>
          <w:bCs/>
        </w:rPr>
        <w:t xml:space="preserve">missed</w:t>
      </w:r>
      <w:r>
        <w:t xml:space="preserve"> consensus of $1.23 by $0.23 (−18.7%).</w:t>
      </w:r>
    </w:p>
    <w:p>
      <w:pPr>
        <w:pStyle w:val="ListParagraph"/>
        <w:numPr>
          <w:ilvl w:val="0"/>
          <w:numId w:val="1"/>
        </w:numPr>
      </w:pPr>
      <w:r>
        <w:t xml:space="preserve">ROE 18.4%, up from 13.1% (+5.3pp YoY). ROTE 25.0%, up from 13.8%.</w:t>
      </w:r>
    </w:p>
    <w:p>
      <w:pPr>
        <w:pStyle w:val="ListParagraph"/>
        <w:numPr>
          <w:ilvl w:val="0"/>
          <w:numId w:val="1"/>
        </w:numPr>
      </w:pPr>
      <w:r>
        <w:t xml:space="preserve">Book value per share $23.70, up from $20.25 (+17% YoY).</w:t>
      </w:r>
    </w:p>
    <w:p>
      <w:r>
        <w:t xml:space="preserve">Nine months FY26 vs nine months FY25:</w:t>
      </w:r>
    </w:p>
    <w:p>
      <w:pPr>
        <w:pStyle w:val="ListParagraph"/>
        <w:numPr>
          <w:ilvl w:val="0"/>
          <w:numId w:val="1"/>
        </w:numPr>
      </w:pPr>
      <w:r>
        <w:t xml:space="preserve">Net operating revenues $2,273.2M vs $1,467.7M (+55%).</w:t>
      </w:r>
    </w:p>
    <w:p>
      <w:pPr>
        <w:pStyle w:val="ListParagraph"/>
        <w:numPr>
          <w:ilvl w:val="0"/>
          <w:numId w:val="1"/>
        </w:numPr>
      </w:pPr>
      <w:r>
        <w:t xml:space="preserve">Net income $441.2M vs $220.2M (+100%).</w:t>
      </w:r>
    </w:p>
    <w:p>
      <w:pPr>
        <w:pStyle w:val="ListParagraph"/>
        <w:numPr>
          <w:ilvl w:val="0"/>
          <w:numId w:val="1"/>
        </w:numPr>
      </w:pPr>
      <w:r>
        <w:t xml:space="preserve">Diluted EPS $3.49 vs $1.92 (+82%).</w:t>
      </w:r>
    </w:p>
    <w:p>
      <w:pPr>
        <w:pStyle w:val="ListParagraph"/>
        <w:numPr>
          <w:ilvl w:val="0"/>
          <w:numId w:val="1"/>
        </w:numPr>
      </w:pPr>
      <w:r>
        <w:t xml:space="preserve">ROE 22.3% vs 15.9%.</w:t>
      </w:r>
    </w:p>
    <w:p>
      <w:r>
        <w:t xml:space="preserve">Segment net operating revenues and segment income, FQ3-26 vs FQ3-25: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542"/>
            <w:shd w:fill="D9D9D9" w:val="clear"/>
          </w:tcPr>
          <w:p>
            <w:r>
              <w:t xml:space="preserve">Segment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NOR FQ3-26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NOR FQ3-25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Δ YoY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Segment income FQ3-26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FQ3-25</w:t>
            </w:r>
          </w:p>
        </w:tc>
        <w:tc>
          <w:tcPr>
            <w:tcW w:type="dxa" w:w="1542"/>
            <w:shd w:fill="D9D9D9" w:val="clear"/>
          </w:tcPr>
          <w:p>
            <w:r>
              <w:t xml:space="preserve">Δ YoY</w:t>
            </w:r>
          </w:p>
        </w:tc>
      </w:tr>
      <w:tr>
        <w:tc>
          <w:tcPr>
            <w:tcW w:type="dxa" w:w="1542"/>
          </w:tcPr>
          <w:p>
            <w:r>
              <w:t xml:space="preserve">Commercial</w:t>
            </w:r>
          </w:p>
        </w:tc>
        <w:tc>
          <w:tcPr>
            <w:tcW w:type="dxa" w:w="1542"/>
          </w:tcPr>
          <w:p>
            <w:r>
              <w:t xml:space="preserve">$326.4M</w:t>
            </w:r>
          </w:p>
        </w:tc>
        <w:tc>
          <w:tcPr>
            <w:tcW w:type="dxa" w:w="1542"/>
          </w:tcPr>
          <w:p>
            <w:r>
              <w:t xml:space="preserve">$171.5M</w:t>
            </w:r>
          </w:p>
        </w:tc>
        <w:tc>
          <w:tcPr>
            <w:tcW w:type="dxa" w:w="1542"/>
          </w:tcPr>
          <w:p>
            <w:r>
              <w:t xml:space="preserve">+90%</w:t>
            </w:r>
          </w:p>
        </w:tc>
        <w:tc>
          <w:tcPr>
            <w:tcW w:type="dxa" w:w="1542"/>
          </w:tcPr>
          <w:p>
            <w:r>
              <w:t xml:space="preserve">$181.4M</w:t>
            </w:r>
          </w:p>
        </w:tc>
        <w:tc>
          <w:tcPr>
            <w:tcW w:type="dxa" w:w="1542"/>
          </w:tcPr>
          <w:p>
            <w:r>
              <w:t xml:space="preserve">$82.7M</w:t>
            </w:r>
          </w:p>
        </w:tc>
        <w:tc>
          <w:tcPr>
            <w:tcW w:type="dxa" w:w="1542"/>
          </w:tcPr>
          <w:p>
            <w:r>
              <w:t xml:space="preserve">+119%</w:t>
            </w:r>
          </w:p>
        </w:tc>
      </w:tr>
      <w:tr>
        <w:tc>
          <w:tcPr>
            <w:tcW w:type="dxa" w:w="1542"/>
          </w:tcPr>
          <w:p>
            <w:r>
              <w:t xml:space="preserve">Institutional</w:t>
            </w:r>
          </w:p>
        </w:tc>
        <w:tc>
          <w:tcPr>
            <w:tcW w:type="dxa" w:w="1542"/>
          </w:tcPr>
          <w:p>
            <w:r>
              <w:t xml:space="preserve">$312.3M</w:t>
            </w:r>
          </w:p>
        </w:tc>
        <w:tc>
          <w:tcPr>
            <w:tcW w:type="dxa" w:w="1542"/>
          </w:tcPr>
          <w:p>
            <w:r>
              <w:t xml:space="preserve">$200.1M</w:t>
            </w:r>
          </w:p>
        </w:tc>
        <w:tc>
          <w:tcPr>
            <w:tcW w:type="dxa" w:w="1542"/>
          </w:tcPr>
          <w:p>
            <w:r>
              <w:t xml:space="preserve">+56%</w:t>
            </w:r>
          </w:p>
        </w:tc>
        <w:tc>
          <w:tcPr>
            <w:tcW w:type="dxa" w:w="1542"/>
          </w:tcPr>
          <w:p>
            <w:r>
              <w:t xml:space="preserve">$129.9M</w:t>
            </w:r>
          </w:p>
        </w:tc>
        <w:tc>
          <w:tcPr>
            <w:tcW w:type="dxa" w:w="1542"/>
          </w:tcPr>
          <w:p>
            <w:r>
              <w:t xml:space="preserve">$87.4M</w:t>
            </w:r>
          </w:p>
        </w:tc>
        <w:tc>
          <w:tcPr>
            <w:tcW w:type="dxa" w:w="1542"/>
          </w:tcPr>
          <w:p>
            <w:r>
              <w:t xml:space="preserve">+49%</w:t>
            </w:r>
          </w:p>
        </w:tc>
      </w:tr>
      <w:tr>
        <w:tc>
          <w:tcPr>
            <w:tcW w:type="dxa" w:w="1542"/>
          </w:tcPr>
          <w:p>
            <w:r>
              <w:t xml:space="preserve">Self-Directed/Retail</w:t>
            </w:r>
          </w:p>
        </w:tc>
        <w:tc>
          <w:tcPr>
            <w:tcW w:type="dxa" w:w="1542"/>
          </w:tcPr>
          <w:p>
            <w:r>
              <w:t xml:space="preserve">$64.4M</w:t>
            </w:r>
          </w:p>
        </w:tc>
        <w:tc>
          <w:tcPr>
            <w:tcW w:type="dxa" w:w="1542"/>
          </w:tcPr>
          <w:p>
            <w:r>
              <w:t xml:space="preserve">$77.4M</w:t>
            </w:r>
          </w:p>
        </w:tc>
        <w:tc>
          <w:tcPr>
            <w:tcW w:type="dxa" w:w="1542"/>
          </w:tcPr>
          <w:p>
            <w:r>
              <w:t xml:space="preserve">−17%</w:t>
            </w:r>
          </w:p>
        </w:tc>
        <w:tc>
          <w:tcPr>
            <w:tcW w:type="dxa" w:w="1542"/>
          </w:tcPr>
          <w:p>
            <w:r>
              <w:t xml:space="preserve">$24.9M</w:t>
            </w:r>
          </w:p>
        </w:tc>
        <w:tc>
          <w:tcPr>
            <w:tcW w:type="dxa" w:w="1542"/>
          </w:tcPr>
          <w:p>
            <w:r>
              <w:t xml:space="preserve">$38.7M</w:t>
            </w:r>
          </w:p>
        </w:tc>
        <w:tc>
          <w:tcPr>
            <w:tcW w:type="dxa" w:w="1542"/>
          </w:tcPr>
          <w:p>
            <w:r>
              <w:t xml:space="preserve">−36%</w:t>
            </w:r>
          </w:p>
        </w:tc>
      </w:tr>
      <w:tr>
        <w:tc>
          <w:tcPr>
            <w:tcW w:type="dxa" w:w="1542"/>
          </w:tcPr>
          <w:p>
            <w:r>
              <w:t xml:space="preserve">Payments</w:t>
            </w:r>
          </w:p>
        </w:tc>
        <w:tc>
          <w:tcPr>
            <w:tcW w:type="dxa" w:w="1542"/>
          </w:tcPr>
          <w:p>
            <w:r>
              <w:t xml:space="preserve">$56.4M</w:t>
            </w:r>
          </w:p>
        </w:tc>
        <w:tc>
          <w:tcPr>
            <w:tcW w:type="dxa" w:w="1542"/>
          </w:tcPr>
          <w:p>
            <w:r>
              <w:t xml:space="preserve">$50.2M</w:t>
            </w:r>
          </w:p>
        </w:tc>
        <w:tc>
          <w:tcPr>
            <w:tcW w:type="dxa" w:w="1542"/>
          </w:tcPr>
          <w:p>
            <w:r>
              <w:t xml:space="preserve">+12%</w:t>
            </w:r>
          </w:p>
        </w:tc>
        <w:tc>
          <w:tcPr>
            <w:tcW w:type="dxa" w:w="1542"/>
          </w:tcPr>
          <w:p>
            <w:r>
              <w:t xml:space="preserve">$34.4M</w:t>
            </w:r>
          </w:p>
        </w:tc>
        <w:tc>
          <w:tcPr>
            <w:tcW w:type="dxa" w:w="1542"/>
          </w:tcPr>
          <w:p>
            <w:r>
              <w:t xml:space="preserve">$28.1M</w:t>
            </w:r>
          </w:p>
        </w:tc>
        <w:tc>
          <w:tcPr>
            <w:tcW w:type="dxa" w:w="1542"/>
          </w:tcPr>
          <w:p>
            <w:r>
              <w:t xml:space="preserve">+22%</w:t>
            </w:r>
          </w:p>
        </w:tc>
      </w:tr>
    </w:tbl>
    <w:p>
      <w:r>
        <w:rPr>
          <w:b/>
          <w:bCs/>
        </w:rPr>
        <w:t xml:space="preserve">Key sector metric (futures commission merchant (FCM): client balances and rate income):</w:t>
      </w:r>
    </w:p>
    <w:p>
      <w:pPr>
        <w:pStyle w:val="ListParagraph"/>
        <w:numPr>
          <w:ilvl w:val="0"/>
          <w:numId w:val="1"/>
        </w:numPr>
      </w:pPr>
      <w:r>
        <w:t xml:space="preserve">Average client equity (listed derivatives) $15,007M, up from $6,558M (+129% YoY).</w:t>
      </w:r>
    </w:p>
    <w:p>
      <w:pPr>
        <w:pStyle w:val="ListParagraph"/>
        <w:numPr>
          <w:ilvl w:val="0"/>
          <w:numId w:val="1"/>
        </w:numPr>
      </w:pPr>
      <w:r>
        <w:t xml:space="preserve">Money-market/FDIC sweep balances $1,181M vs $1,208M (−2%).</w:t>
      </w:r>
    </w:p>
    <w:p>
      <w:pPr>
        <w:pStyle w:val="ListParagraph"/>
        <w:numPr>
          <w:ilvl w:val="0"/>
          <w:numId w:val="1"/>
        </w:numPr>
      </w:pPr>
      <w:r>
        <w:t xml:space="preserve">Interest/fees earned on client balances $169.0M vs $102.9M (+64% YoY), which is 23.5% of net operating revenue.</w:t>
      </w:r>
    </w:p>
    <w:p>
      <w:pPr>
        <w:pStyle w:val="ListParagraph"/>
        <w:numPr>
          <w:ilvl w:val="0"/>
          <w:numId w:val="1"/>
        </w:numPr>
      </w:pPr>
      <w:r>
        <w:t xml:space="preserve">Rate sensitivity disclosed by management: ±25bp = ±$11.7M after tax (±$0.09/share). ±100bp = ±$46.9M (±$0.38/share) on $14.1B of investable balances.</w:t>
      </w:r>
    </w:p>
    <w:p>
      <w:r>
        <w:t xml:space="preserve">Volume and pricing, FQ3-26 vs FQ3-25: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Line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Volume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Rate</w:t>
            </w:r>
          </w:p>
        </w:tc>
      </w:tr>
      <w:tr>
        <w:tc>
          <w:tcPr>
            <w:tcW w:type="dxa" w:w="3600"/>
          </w:tcPr>
          <w:p>
            <w:r>
              <w:t xml:space="preserve">Listed derivatives</w:t>
            </w:r>
          </w:p>
        </w:tc>
        <w:tc>
          <w:tcPr>
            <w:tcW w:type="dxa" w:w="3600"/>
          </w:tcPr>
          <w:p>
            <w:r>
              <w:t xml:space="preserve">97.9M contracts vs 56.8M (+73%)</w:t>
            </w:r>
          </w:p>
        </w:tc>
        <w:tc>
          <w:tcPr>
            <w:tcW w:type="dxa" w:w="3600"/>
          </w:tcPr>
          <w:p>
            <w:r>
              <w:t xml:space="preserve">$2.61 vs $2.13 per contract (+23%)</w:t>
            </w:r>
          </w:p>
        </w:tc>
      </w:tr>
      <w:tr>
        <w:tc>
          <w:tcPr>
            <w:tcW w:type="dxa" w:w="3600"/>
          </w:tcPr>
          <w:p>
            <w:r>
              <w:t xml:space="preserve">OTC derivatives</w:t>
            </w:r>
          </w:p>
        </w:tc>
        <w:tc>
          <w:tcPr>
            <w:tcW w:type="dxa" w:w="3600"/>
          </w:tcPr>
          <w:p>
            <w:r>
              <w:t xml:space="preserve">1.92M contracts vs 1.02M (+89%)</w:t>
            </w:r>
          </w:p>
        </w:tc>
        <w:tc>
          <w:tcPr>
            <w:tcW w:type="dxa" w:w="3600"/>
          </w:tcPr>
          <w:p>
            <w:r>
              <w:t xml:space="preserve">$53.50 vs $58.06 (−8%)</w:t>
            </w:r>
          </w:p>
        </w:tc>
      </w:tr>
      <w:tr>
        <w:tc>
          <w:tcPr>
            <w:tcW w:type="dxa" w:w="3600"/>
          </w:tcPr>
          <w:p>
            <w:r>
              <w:t xml:space="preserve">Securities ADV</w:t>
            </w:r>
          </w:p>
        </w:tc>
        <w:tc>
          <w:tcPr>
            <w:tcW w:type="dxa" w:w="3600"/>
          </w:tcPr>
          <w:p>
            <w:r>
              <w:t xml:space="preserve">$12.3B vs $9.2B (+33%)</w:t>
            </w:r>
          </w:p>
        </w:tc>
        <w:tc>
          <w:tcPr>
            <w:tcW w:type="dxa" w:w="3600"/>
          </w:tcPr>
          <w:p>
            <w:r>
              <w:t xml:space="preserve">—</w:t>
            </w:r>
          </w:p>
        </w:tc>
      </w:tr>
      <w:tr>
        <w:tc>
          <w:tcPr>
            <w:tcW w:type="dxa" w:w="3600"/>
          </w:tcPr>
          <w:p>
            <w:r>
              <w:t xml:space="preserve">FX/CFD ADV</w:t>
            </w:r>
          </w:p>
        </w:tc>
        <w:tc>
          <w:tcPr>
            <w:tcW w:type="dxa" w:w="3600"/>
          </w:tcPr>
          <w:p>
            <w:r>
              <w:t xml:space="preserve">$10.8B vs $12.2B (−12%)</w:t>
            </w:r>
          </w:p>
        </w:tc>
        <w:tc>
          <w:tcPr>
            <w:tcW w:type="dxa" w:w="3600"/>
          </w:tcPr>
          <w:p>
            <w:r>
              <w:t xml:space="preserve">RPM $102 vs $111 (−8%)</w:t>
            </w:r>
          </w:p>
        </w:tc>
      </w:tr>
      <w:tr>
        <w:tc>
          <w:tcPr>
            <w:tcW w:type="dxa" w:w="3600"/>
          </w:tcPr>
          <w:p>
            <w:r>
              <w:t xml:space="preserve">Payments ADV</w:t>
            </w:r>
          </w:p>
        </w:tc>
        <w:tc>
          <w:tcPr>
            <w:tcW w:type="dxa" w:w="3600"/>
          </w:tcPr>
          <w:p>
            <w:r>
              <w:t xml:space="preserve">$96M vs $80M (+20%)</w:t>
            </w:r>
          </w:p>
        </w:tc>
        <w:tc>
          <w:tcPr>
            <w:tcW w:type="dxa" w:w="3600"/>
          </w:tcPr>
          <w:p>
            <w:r>
              <w:t xml:space="preserve">RPM $9,915 vs $10,614 (−7%)</w:t>
            </w:r>
          </w:p>
        </w:tc>
      </w:tr>
    </w:tbl>
    <w:p>
      <w:r>
        <w:t xml:space="preserve">Costs:</w:t>
      </w:r>
    </w:p>
    <w:p>
      <w:pPr>
        <w:pStyle w:val="ListParagraph"/>
        <w:numPr>
          <w:ilvl w:val="0"/>
          <w:numId w:val="1"/>
        </w:numPr>
      </w:pPr>
      <w:r>
        <w:t xml:space="preserve">Variable compensation $244.0M vs $143.9M (+70%). That is 30% of non-interest expenses, up from 26%.</w:t>
      </w:r>
    </w:p>
    <w:p>
      <w:pPr>
        <w:pStyle w:val="ListParagraph"/>
        <w:numPr>
          <w:ilvl w:val="0"/>
          <w:numId w:val="1"/>
        </w:numPr>
      </w:pPr>
      <w:r>
        <w:t xml:space="preserve">Introducing-broker commissions $93.1M vs $49.7M (+87%), driven by the RJO network.</w:t>
      </w:r>
    </w:p>
    <w:p>
      <w:r>
        <w:rPr>
          <w:b/>
          <w:bCs/>
        </w:rPr>
        <w:t xml:space="preserve">R.J. O'Brien integration:</w:t>
      </w:r>
    </w:p>
    <w:p>
      <w:pPr>
        <w:pStyle w:val="ListParagraph"/>
        <w:numPr>
          <w:ilvl w:val="0"/>
          <w:numId w:val="1"/>
        </w:numPr>
      </w:pPr>
      <w:r>
        <w:t xml:space="preserve">Acquisition closed Jul 31, 2025: $651.9M cash plus 3,085,554 shares (~6.9M split-adjusted). The announced value was ~$900M.</w:t>
      </w:r>
    </w:p>
    <w:p>
      <w:pPr>
        <w:pStyle w:val="ListParagraph"/>
        <w:numPr>
          <w:ilvl w:val="0"/>
          <w:numId w:val="1"/>
        </w:numPr>
      </w:pPr>
      <w:r>
        <w:t xml:space="preserve">Annualised cost synergies exited FQ3 at a $37–38M run-rate, up from $32M a quarter earlier.</w:t>
      </w:r>
    </w:p>
    <w:p>
      <w:pPr>
        <w:pStyle w:val="ListParagraph"/>
        <w:numPr>
          <w:ilvl w:val="0"/>
          <w:numId w:val="1"/>
        </w:numPr>
      </w:pPr>
      <w:r>
        <w:t xml:space="preserve">Target: $45–46M by FYE26 and $50M by FQ1-27.</w:t>
      </w:r>
    </w:p>
    <w:p>
      <w:pPr>
        <w:pStyle w:val="ListParagraph"/>
        <w:numPr>
          <w:ilvl w:val="0"/>
          <w:numId w:val="1"/>
        </w:numPr>
      </w:pPr>
      <w:r>
        <w:t xml:space="preserve">Management says the deal makes StoneX "the largest non-bank FCM".</w:t>
      </w:r>
    </w:p>
    <w:p>
      <w:r>
        <w:rPr>
          <w:b/>
          <w:bCs/>
        </w:rPr>
        <w:t xml:space="preserve">CEO commentary</w:t>
      </w:r>
      <w:r>
        <w:t xml:space="preserve"> (Philip Smith): "double-digit growth in our Commercial, Institutional and Payments segments, reflecting the increasing value of the StoneX ecosystem."</w:t>
      </w:r>
    </w:p>
    <w:p>
      <w:r>
        <w:rPr>
          <w:b/>
          <w:bCs/>
        </w:rPr>
        <w:t xml:space="preserve">Recent news (trailing ~90 days):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Jul 2026:</w:t>
      </w:r>
      <w:r>
        <w:t xml:space="preserve"> Jefferies downgraded the stock Buy → Hold and cut its target $123 → $112. That target is pre-split; on the post-July-split basis it is ≈$74.7 [conversion ours].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Jul 17, 2026:</w:t>
      </w:r>
      <w:r>
        <w:t xml:space="preserve"> second 3-for-2 split of the year was distributed. The first was Mar 20, 2026. Share counts and prices below are split-adjusted.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Aug 6, 2026:</w:t>
      </w:r>
      <w:r>
        <w:t xml:space="preserve"> the stock fell from $76.02 to $69.23 on results (−8.9%), then to $66.35 (−12.7% cumulative), on the EPS miss and the sequential slowdown.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Sept 2026:</w:t>
      </w:r>
      <w:r>
        <w:t xml:space="preserve"> an insider sold ~$1.36M of stock. There were no reported open-market buys.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Consensus (Sept 2026):</w:t>
      </w:r>
      <w:r>
        <w:t xml:space="preserve"> average target ~$76.50 across 8 analysts per one aggregator (+10% vs $69.52), rated "Buy". Coverage is thin, and yfinance lists only 1 estimate.</w:t>
      </w:r>
    </w:p>
    <w:p>
      <w:r>
        <w:rPr>
          <w:b/>
          <w:bCs/>
        </w:rPr>
        <w:t xml:space="preserve">Price:</w:t>
      </w:r>
      <w:r>
        <w:t xml:space="preserve"> 52-week range $36.45–$94.66. $69.52 is 26.6% below the high. It is +58% over the 12-1 month window but −24% over 3 months, and about 9% above the 200-day average ($63.61).</w:t>
      </w:r>
    </w:p>
    <w:p>
      <w:pPr>
        <w:pStyle w:val="Heading2"/>
        <w:spacing w:after="120" w:before="240"/>
      </w:pPr>
      <w:r>
        <w:t xml:space="preserve">1. Business Overview</w:t>
      </w:r>
    </w:p>
    <w:p>
      <w:r>
        <w:rPr>
          <w:b/>
          <w:bCs/>
        </w:rPr>
        <w:t xml:space="preserve">Segments</w:t>
      </w:r>
      <w:r>
        <w:t xml:space="preserve"> (StoneX's own reporting; 9M FY26 net operating revenue / segment income):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Segment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What it does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9M FY26 NOR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Share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9M FY26 segment income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Δ NOR YoY</w:t>
            </w:r>
          </w:p>
        </w:tc>
      </w:tr>
      <w:tr>
        <w:tc>
          <w:tcPr>
            <w:tcW w:type="dxa" w:w="1800"/>
          </w:tcPr>
          <w:p>
            <w:r>
              <w:t xml:space="preserve">Commercial</w:t>
            </w:r>
          </w:p>
        </w:tc>
        <w:tc>
          <w:tcPr>
            <w:tcW w:type="dxa" w:w="1800"/>
          </w:tcPr>
          <w:p>
            <w:r>
              <w:t xml:space="preserve">Hedging, clearing, OTC risk management, physical commodity trading and precious metals for producers, processors and end-users</w:t>
            </w:r>
          </w:p>
        </w:tc>
        <w:tc>
          <w:tcPr>
            <w:tcW w:type="dxa" w:w="1800"/>
          </w:tcPr>
          <w:p>
            <w:r>
              <w:t xml:space="preserve">$1,052.9M</w:t>
            </w:r>
          </w:p>
        </w:tc>
        <w:tc>
          <w:tcPr>
            <w:tcW w:type="dxa" w:w="1800"/>
          </w:tcPr>
          <w:p>
            <w:r>
              <w:t xml:space="preserve">44%</w:t>
            </w:r>
          </w:p>
        </w:tc>
        <w:tc>
          <w:tcPr>
            <w:tcW w:type="dxa" w:w="1800"/>
          </w:tcPr>
          <w:p>
            <w:r>
              <w:t xml:space="preserve">$604.8M</w:t>
            </w:r>
          </w:p>
        </w:tc>
        <w:tc>
          <w:tcPr>
            <w:tcW w:type="dxa" w:w="1800"/>
          </w:tcPr>
          <w:p>
            <w:r>
              <w:t xml:space="preserve">+89%</w:t>
            </w:r>
          </w:p>
        </w:tc>
      </w:tr>
      <w:tr>
        <w:tc>
          <w:tcPr>
            <w:tcW w:type="dxa" w:w="1800"/>
          </w:tcPr>
          <w:p>
            <w:r>
              <w:t xml:space="preserve">Institutional</w:t>
            </w:r>
          </w:p>
        </w:tc>
        <w:tc>
          <w:tcPr>
            <w:tcW w:type="dxa" w:w="1800"/>
          </w:tcPr>
          <w:p>
            <w:r>
              <w:t xml:space="preserve">FCM clearing and execution, prime services, securities market-making, fixed income, FX prime brokerage</w:t>
            </w:r>
          </w:p>
        </w:tc>
        <w:tc>
          <w:tcPr>
            <w:tcW w:type="dxa" w:w="1800"/>
          </w:tcPr>
          <w:p>
            <w:r>
              <w:t xml:space="preserve">$952.0M</w:t>
            </w:r>
          </w:p>
        </w:tc>
        <w:tc>
          <w:tcPr>
            <w:tcW w:type="dxa" w:w="1800"/>
          </w:tcPr>
          <w:p>
            <w:r>
              <w:t xml:space="preserve">40%</w:t>
            </w:r>
          </w:p>
        </w:tc>
        <w:tc>
          <w:tcPr>
            <w:tcW w:type="dxa" w:w="1800"/>
          </w:tcPr>
          <w:p>
            <w:r>
              <w:t xml:space="preserve">$390.1M</w:t>
            </w:r>
          </w:p>
        </w:tc>
        <w:tc>
          <w:tcPr>
            <w:tcW w:type="dxa" w:w="1800"/>
          </w:tcPr>
          <w:p>
            <w:r>
              <w:t xml:space="preserve">+68%</w:t>
            </w:r>
          </w:p>
        </w:tc>
      </w:tr>
      <w:tr>
        <w:tc>
          <w:tcPr>
            <w:tcW w:type="dxa" w:w="1800"/>
          </w:tcPr>
          <w:p>
            <w:r>
              <w:t xml:space="preserve">Self-Directed/Retail</w:t>
            </w:r>
          </w:p>
        </w:tc>
        <w:tc>
          <w:tcPr>
            <w:tcW w:type="dxa" w:w="1800"/>
          </w:tcPr>
          <w:p>
            <w:r>
              <w:t xml:space="preserve">FOREX.com / City Index retail FX, CFDs and brokerage</w:t>
            </w:r>
          </w:p>
        </w:tc>
        <w:tc>
          <w:tcPr>
            <w:tcW w:type="dxa" w:w="1800"/>
          </w:tcPr>
          <w:p>
            <w:r>
              <w:t xml:space="preserve">$198.1M</w:t>
            </w:r>
          </w:p>
        </w:tc>
        <w:tc>
          <w:tcPr>
            <w:tcW w:type="dxa" w:w="1800"/>
          </w:tcPr>
          <w:p>
            <w:r>
              <w:t xml:space="preserve">8%</w:t>
            </w:r>
          </w:p>
        </w:tc>
        <w:tc>
          <w:tcPr>
            <w:tcW w:type="dxa" w:w="1800"/>
          </w:tcPr>
          <w:p>
            <w:r>
              <w:t xml:space="preserve">$73.4M</w:t>
            </w:r>
          </w:p>
        </w:tc>
        <w:tc>
          <w:tcPr>
            <w:tcW w:type="dxa" w:w="1800"/>
          </w:tcPr>
          <w:p>
            <w:r>
              <w:t xml:space="preserve">−15%</w:t>
            </w:r>
          </w:p>
        </w:tc>
      </w:tr>
      <w:tr>
        <w:tc>
          <w:tcPr>
            <w:tcW w:type="dxa" w:w="1800"/>
          </w:tcPr>
          <w:p>
            <w:r>
              <w:t xml:space="preserve">Payments</w:t>
            </w:r>
          </w:p>
        </w:tc>
        <w:tc>
          <w:tcPr>
            <w:tcW w:type="dxa" w:w="1800"/>
          </w:tcPr>
          <w:p>
            <w:r>
              <w:t xml:space="preserve">Cross-border payments in local currencies for corporates, NGOs and financial institutions</w:t>
            </w:r>
          </w:p>
        </w:tc>
        <w:tc>
          <w:tcPr>
            <w:tcW w:type="dxa" w:w="1800"/>
          </w:tcPr>
          <w:p>
            <w:r>
              <w:t xml:space="preserve">$162.9M</w:t>
            </w:r>
          </w:p>
        </w:tc>
        <w:tc>
          <w:tcPr>
            <w:tcW w:type="dxa" w:w="1800"/>
          </w:tcPr>
          <w:p>
            <w:r>
              <w:t xml:space="preserve">7%</w:t>
            </w:r>
          </w:p>
        </w:tc>
        <w:tc>
          <w:tcPr>
            <w:tcW w:type="dxa" w:w="1800"/>
          </w:tcPr>
          <w:p>
            <w:r>
              <w:t xml:space="preserve">$100.1M</w:t>
            </w:r>
          </w:p>
        </w:tc>
        <w:tc>
          <w:tcPr>
            <w:tcW w:type="dxa" w:w="1800"/>
          </w:tcPr>
          <w:p>
            <w:r>
              <w:t xml:space="preserve">+6%</w:t>
            </w:r>
          </w:p>
        </w:tc>
      </w:tr>
    </w:tbl>
    <w:p>
      <w:r>
        <w:rPr>
          <w:b/>
          <w:bCs/>
        </w:rPr>
        <w:t xml:space="preserve">Principal markets:</w:t>
      </w:r>
    </w:p>
    <w:p>
      <w:pPr>
        <w:pStyle w:val="ListParagraph"/>
        <w:numPr>
          <w:ilvl w:val="0"/>
          <w:numId w:val="1"/>
        </w:numPr>
      </w:pPr>
      <w:r>
        <w:t xml:space="preserve">Global client base. The US is the largest share of client equity via its FCM (RJO added a large US introducing-broker network).</w:t>
      </w:r>
    </w:p>
    <w:p>
      <w:pPr>
        <w:pStyle w:val="ListParagraph"/>
        <w:numPr>
          <w:ilvl w:val="0"/>
          <w:numId w:val="1"/>
        </w:numPr>
      </w:pPr>
      <w:r>
        <w:t xml:space="preserve">Clients are commercial end-users, institutions, retail traders and payment clients.</w:t>
      </w:r>
    </w:p>
    <w:p>
      <w:pPr>
        <w:pStyle w:val="ListParagraph"/>
        <w:numPr>
          <w:ilvl w:val="0"/>
          <w:numId w:val="1"/>
        </w:numPr>
      </w:pPr>
      <w:r>
        <w:t xml:space="preserve">Named competitors:</w:t>
      </w:r>
    </w:p>
    <w:p>
      <w:r>
        <w:t xml:space="preserve">  - Bank FCMs: JPMorgan, Goldman Sachs, Morgan Stanley, Société Générale.</w:t>
      </w:r>
    </w:p>
    <w:p>
      <w:r>
        <w:t xml:space="preserve">  - Non-bank FCMs and brokers: Marex, ADM Investor Services, Wedbush.</w:t>
      </w:r>
    </w:p>
    <w:p>
      <w:r>
        <w:t xml:space="preserve">  - Retail FX/CFD: IG, Plus500.</w:t>
      </w:r>
    </w:p>
    <w:p>
      <w:r>
        <w:t xml:space="preserve">  - Cross-border payments: correspondent banks and specialist providers.</w:t>
      </w:r>
    </w:p>
    <w:p>
      <w:pPr>
        <w:pStyle w:val="ListParagraph"/>
        <w:numPr>
          <w:ilvl w:val="0"/>
          <w:numId w:val="1"/>
        </w:numPr>
      </w:pPr>
      <w:r>
        <w:t xml:space="preserve">Market position: "largest non-bank FCM" (company claim, FQ3-26 release).</w:t>
      </w:r>
    </w:p>
    <w:p>
      <w:r>
        <w:rPr>
          <w:b/>
          <w:bCs/>
        </w:rPr>
        <w:t xml:space="preserve">TAM:</w:t>
      </w:r>
    </w:p>
    <w:p>
      <w:pPr>
        <w:pStyle w:val="ListParagraph"/>
        <w:numPr>
          <w:ilvl w:val="0"/>
          <w:numId w:val="1"/>
        </w:numPr>
      </w:pPr>
      <w:r>
        <w:t xml:space="preserve">StoneX does not disclose a TAM figure, and no independent, sourced estimate was retrieved. </w:t>
      </w:r>
      <w:r>
        <w:rPr>
          <w:b/>
          <w:bCs/>
        </w:rPr>
        <w:t xml:space="preserve">No TAM is stated</w:t>
      </w:r>
      <w:r>
        <w:t xml:space="preserve">, per the no-fabrication rule.</w:t>
      </w:r>
    </w:p>
    <w:p>
      <w:pPr>
        <w:pStyle w:val="ListParagraph"/>
        <w:numPr>
          <w:ilvl w:val="0"/>
          <w:numId w:val="1"/>
        </w:numPr>
      </w:pPr>
      <w:r>
        <w:t xml:space="preserve">The practical growth proxy is client equity at the FCM: $15.0B average in FQ3-26, up from $6.6B (+129%). Most of that step-up came from RJO rather than organic share gains.</w:t>
      </w:r>
    </w:p>
    <w:p>
      <w:pPr>
        <w:pStyle w:val="Heading2"/>
        <w:spacing w:after="120" w:before="240"/>
      </w:pPr>
      <w:r>
        <w:t xml:space="preserve">2. Routing</w:t>
      </w:r>
    </w:p>
    <w:p>
      <w:r>
        <w:rPr>
          <w:b/>
          <w:bCs/>
        </w:rPr>
        <w:t xml:space="preserve">Track A-FT (Capital Markets / FCM-broker; financial valuation anchor).</w:t>
      </w:r>
    </w:p>
    <w:p>
      <w:pPr>
        <w:pStyle w:val="ListParagraph"/>
        <w:numPr>
          <w:ilvl w:val="0"/>
          <w:numId w:val="1"/>
        </w:numPr>
      </w:pPr>
      <w:r>
        <w:t xml:space="preserve">StoneX is a mature, profitable, balance-sheet-intensive intermediary.</w:t>
      </w:r>
    </w:p>
    <w:p>
      <w:pPr>
        <w:pStyle w:val="ListParagraph"/>
        <w:numPr>
          <w:ilvl w:val="0"/>
          <w:numId w:val="1"/>
        </w:numPr>
      </w:pPr>
      <w:r>
        <w:t xml:space="preserve">Its gross revenue ($157.7B TTM) is dominated by physical commodity turnover, and its cash flow is dominated by client-fund movements. EV/EBITDA, P/S and FCFF DCF are therefore not meaningful.</w:t>
      </w:r>
    </w:p>
    <w:p>
      <w:pPr>
        <w:pStyle w:val="ListParagraph"/>
        <w:numPr>
          <w:ilvl w:val="0"/>
          <w:numId w:val="1"/>
        </w:numPr>
      </w:pPr>
      <w:r>
        <w:t xml:space="preserve">The Banks-appendix logic applies instead: P/TBV against ROTE, plus a Penman/Koller-consistent excess-return (residual-income) model on book value.</w:t>
      </w:r>
    </w:p>
    <w:p>
      <w:pPr>
        <w:pStyle w:val="ListParagraph"/>
        <w:numPr>
          <w:ilvl w:val="0"/>
          <w:numId w:val="1"/>
        </w:numPr>
      </w:pPr>
      <w:r>
        <w:t xml:space="preserve">The Fintech &amp; Payments appendix is used as a cross-check for the Payments and Retail segments.</w:t>
      </w:r>
    </w:p>
    <w:p>
      <w:pPr>
        <w:pStyle w:val="Heading2"/>
        <w:spacing w:after="120" w:before="240"/>
      </w:pPr>
      <w:r>
        <w:t xml:space="preserve">3. Categorization (Lynch)</w:t>
      </w:r>
    </w:p>
    <w:p>
      <w:r>
        <w:rPr>
          <w:b/>
          <w:bCs/>
        </w:rPr>
        <w:t xml:space="preserve">Fast Grower, with a cyclical and rate-sensitive earnings component.</w:t>
      </w:r>
    </w:p>
    <w:p>
      <w:pPr>
        <w:pStyle w:val="ListParagraph"/>
        <w:numPr>
          <w:ilvl w:val="0"/>
          <w:numId w:val="1"/>
        </w:numPr>
      </w:pPr>
      <w:r>
        <w:t xml:space="preserve">EPS growth: 9M FY26 diluted EPS +82% YoY. The FY22 → FY25 net income CAGR is +14%: $207.1M → $305.9M.</w:t>
      </w:r>
    </w:p>
    <w:p>
      <w:pPr>
        <w:pStyle w:val="ListParagraph"/>
        <w:numPr>
          <w:ilvl w:val="0"/>
          <w:numId w:val="1"/>
        </w:numPr>
      </w:pPr>
      <w:r>
        <w:t xml:space="preserve">PEG (TTM P/E ~16.5× ÷ ~20% normalised EPS growth) ≈ 0.8. That is in Lynch's "fair to attractive" band.</w:t>
      </w:r>
    </w:p>
    <w:p>
      <w:pPr>
        <w:pStyle w:val="ListParagraph"/>
        <w:numPr>
          <w:ilvl w:val="0"/>
          <w:numId w:val="1"/>
        </w:numPr>
      </w:pPr>
      <w:r>
        <w:t xml:space="preserve">Caveat: the FY26 growth rate is inflated by the RJO acquisition, peak commodity volatility and high short rates. None of these is repeatable at the same rate.</w:t>
      </w:r>
    </w:p>
    <w:p>
      <w:pPr>
        <w:pStyle w:val="ListParagraph"/>
        <w:numPr>
          <w:ilvl w:val="0"/>
          <w:numId w:val="1"/>
        </w:numPr>
      </w:pPr>
      <w:r>
        <w:t xml:space="preserve">The part of earnings driven by rates and volatility behaves like a </w:t>
      </w:r>
      <w:r>
        <w:rPr>
          <w:b/>
          <w:bCs/>
        </w:rPr>
        <w:t xml:space="preserve">Cyclical</w:t>
      </w:r>
      <w:r>
        <w:t xml:space="preserve">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r>
        <w:rPr>
          <w:b/>
          <w:bCs/>
        </w:rPr>
        <w:t xml:space="preserve">Accrual ratio: not meaningful.</w:t>
      </w:r>
      <w:r>
        <w:t xml:space="preserve"> FY25 operating cash flow of $4,388M against net income of $305.9M is driven by swings in client payables and receivables, not operating earnings. It is the same distortion as a bank's deposits. Earnings quality has to be judged from the revenue mix instead.</w:t>
      </w:r>
    </w:p>
    <w:p>
      <w:r>
        <w:rPr>
          <w:b/>
          <w:bCs/>
        </w:rPr>
        <w:t xml:space="preserve">Persistent vs transitory earnings:</w:t>
      </w:r>
    </w:p>
    <w:p>
      <w:pPr>
        <w:pStyle w:val="ListParagraph"/>
        <w:numPr>
          <w:ilvl w:val="0"/>
          <w:numId w:val="1"/>
        </w:numPr>
      </w:pPr>
      <w:r>
        <w:t xml:space="preserve">Interest/fees on client balances are 23.5% of FQ3-26 net operating revenue ($169.0M). This component is </w:t>
      </w:r>
      <w:r>
        <w:rPr>
          <w:b/>
          <w:bCs/>
        </w:rPr>
        <w:t xml:space="preserve">rate-transitory</w:t>
      </w:r>
      <w:r>
        <w:t xml:space="preserve">: persistent only as long as short rates stay near today's levels.</w:t>
      </w:r>
    </w:p>
    <w:p>
      <w:pPr>
        <w:pStyle w:val="ListParagraph"/>
        <w:numPr>
          <w:ilvl w:val="0"/>
          <w:numId w:val="1"/>
        </w:numPr>
      </w:pPr>
      <w:r>
        <w:t xml:space="preserve">Commercial segment income +119% YoY reflects a high-volatility commodity year (Iran war, oil, the ag trade). Part of it is cyclical.</w:t>
      </w:r>
    </w:p>
    <w:p>
      <w:pPr>
        <w:pStyle w:val="ListParagraph"/>
        <w:numPr>
          <w:ilvl w:val="0"/>
          <w:numId w:val="1"/>
        </w:numPr>
      </w:pPr>
      <w:r>
        <w:t xml:space="preserve">FQ2-26 → FQ3-26 already shows normalisation: net income $174.3M → $127.9M (−27% QoQ).</w:t>
      </w:r>
    </w:p>
    <w:p>
      <w:r>
        <w:rPr>
          <w:b/>
          <w:bCs/>
        </w:rPr>
        <w:t xml:space="preserve">ROE vs leverage (RNOA-style separation):</w:t>
      </w:r>
    </w:p>
    <w:p>
      <w:pPr>
        <w:pStyle w:val="ListParagraph"/>
        <w:numPr>
          <w:ilvl w:val="0"/>
          <w:numId w:val="1"/>
        </w:numPr>
      </w:pPr>
      <w:r>
        <w:t xml:space="preserve">ROE went from 19.4% (FY22) to 19.5%, 16.9%, 15.0% (FY25) and 18.5% TTM (yfinance). The company-reported TTM figure is 20.8%.</w:t>
      </w:r>
    </w:p>
    <w:p>
      <w:pPr>
        <w:pStyle w:val="ListParagraph"/>
        <w:numPr>
          <w:ilvl w:val="0"/>
          <w:numId w:val="1"/>
        </w:numPr>
      </w:pPr>
      <w:r>
        <w:t xml:space="preserve">ROE rose while debt/equity went from 5.0 to 8.2 (FY22 → TTM, yfinance "total debt").</w:t>
      </w:r>
    </w:p>
    <w:p>
      <w:pPr>
        <w:pStyle w:val="ListParagraph"/>
        <w:numPr>
          <w:ilvl w:val="0"/>
          <w:numId w:val="1"/>
        </w:numPr>
      </w:pPr>
      <w:r>
        <w:t xml:space="preserve">For an FCM, reported debt includes client-related financing, so the increase is largely a function of balance growth after RJO, not financial engineering.</w:t>
      </w:r>
    </w:p>
    <w:p>
      <w:pPr>
        <w:pStyle w:val="ListParagraph"/>
        <w:numPr>
          <w:ilvl w:val="0"/>
          <w:numId w:val="1"/>
        </w:numPr>
      </w:pPr>
      <w:r>
        <w:t xml:space="preserve">The gap between ROTE (25.0%) and ROE (18.4%) is the RJO goodwill and intangibles. Tangible book is ≈$17.4/share, derived from ROE/ROTE × BVPS.</w:t>
      </w:r>
    </w:p>
    <w:p>
      <w:r>
        <w:rPr>
          <w:b/>
          <w:bCs/>
        </w:rPr>
        <w:t xml:space="preserve">Margin trend:</w:t>
      </w:r>
    </w:p>
    <w:p>
      <w:pPr>
        <w:pStyle w:val="ListParagraph"/>
        <w:numPr>
          <w:ilvl w:val="0"/>
          <w:numId w:val="1"/>
        </w:numPr>
      </w:pPr>
      <w:r>
        <w:t xml:space="preserve">Segment income as a share of NOR in FQ3-26: Commercial 56% (up from 48%), Institutional 42% (down from 44%), Retail 39% (down from 50%), Payments 61% (up from 56%).</w:t>
      </w:r>
    </w:p>
    <w:p>
      <w:pPr>
        <w:pStyle w:val="ListParagraph"/>
        <w:numPr>
          <w:ilvl w:val="0"/>
          <w:numId w:val="1"/>
        </w:numPr>
      </w:pPr>
      <w:r>
        <w:t xml:space="preserve">The mix is improving toward the two highest-margin, stickiest franchises (Commercial and Payments).</w:t>
      </w:r>
    </w:p>
    <w:p>
      <w:r>
        <w:rPr>
          <w:b/>
          <w:bCs/>
        </w:rPr>
        <w:t xml:space="preserve">Dilution:</w:t>
      </w:r>
    </w:p>
    <w:p>
      <w:pPr>
        <w:pStyle w:val="ListParagraph"/>
        <w:numPr>
          <w:ilvl w:val="0"/>
          <w:numId w:val="1"/>
        </w:numPr>
      </w:pPr>
      <w:r>
        <w:t xml:space="preserve">Split-adjusted shares went 102.8M (FY22) → 105.3M → 107.6M → 117.4M (FY25) → 120.6M (now).</w:t>
      </w:r>
    </w:p>
    <w:p>
      <w:pPr>
        <w:pStyle w:val="ListParagraph"/>
        <w:numPr>
          <w:ilvl w:val="0"/>
          <w:numId w:val="1"/>
        </w:numPr>
      </w:pPr>
      <w:r>
        <w:t xml:space="preserve">That is +17% over ~3.75 years, ≈4.3%/yr. About 6.9M of the increase (split-adjusted) was RJO consideration. The rest, ≈2%/yr, is stock compensation.</w:t>
      </w:r>
    </w:p>
    <w:p>
      <w:pPr>
        <w:pStyle w:val="Heading2"/>
        <w:spacing w:after="120" w:before="240"/>
      </w:pPr>
      <w:r>
        <w:t xml:space="preserve">5. Valuation — Excess-Return Model (Koller/Penman, financial-company variant)</w:t>
      </w:r>
    </w:p>
    <w:p>
      <w:r>
        <w:t xml:space="preserve">A free-cash-flow-to-firm DCF is not valid for an FCM. Following Koller's approach for financial institutions, value is book value plus the present value of expected excess returns: (ROE − Re) × Book, with ROE fading to a terminal level and g = 4%.</w:t>
      </w:r>
    </w:p>
    <w:p>
      <w:r>
        <w:rPr>
          <w:b/>
          <w:bCs/>
        </w:rPr>
        <w:t xml:space="preserve">Cost of equity construction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Input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Value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Source / note</w:t>
            </w:r>
          </w:p>
        </w:tc>
      </w:tr>
      <w:tr>
        <w:tc>
          <w:tcPr>
            <w:tcW w:type="dxa" w:w="3600"/>
          </w:tcPr>
          <w:p>
            <w:r>
              <w:t xml:space="preserve">Risk-free rate</w:t>
            </w:r>
          </w:p>
        </w:tc>
        <w:tc>
          <w:tcPr>
            <w:tcW w:type="dxa" w:w="3600"/>
          </w:tcPr>
          <w:p>
            <w:r>
              <w:t xml:space="preserve">5.14%</w:t>
            </w:r>
          </w:p>
        </w:tc>
        <w:tc>
          <w:tcPr>
            <w:tcW w:type="dxa" w:w="3600"/>
          </w:tcPr>
          <w:p>
            <w:r>
              <w:t xml:space="preserve">US 10Y, macro_report_2026-09-24</w:t>
            </w:r>
          </w:p>
        </w:tc>
      </w:tr>
      <w:tr>
        <w:tc>
          <w:tcPr>
            <w:tcW w:type="dxa" w:w="3600"/>
          </w:tcPr>
          <w:p>
            <w:r>
              <w:t xml:space="preserve">ERP</w:t>
            </w:r>
          </w:p>
        </w:tc>
        <w:tc>
          <w:tcPr>
            <w:tcW w:type="dxa" w:w="3600"/>
          </w:tcPr>
          <w:p>
            <w:r>
              <w:t xml:space="preserve">4.5%</w:t>
            </w:r>
          </w:p>
        </w:tc>
        <w:tc>
          <w:tcPr>
            <w:tcW w:type="dxa" w:w="3600"/>
          </w:tcPr>
          <w:p>
            <w:r>
              <w:t xml:space="preserve">Damodaran implied (agent default)</w:t>
            </w:r>
          </w:p>
        </w:tc>
      </w:tr>
      <w:tr>
        <w:tc>
          <w:tcPr>
            <w:tcW w:type="dxa" w:w="3600"/>
          </w:tcPr>
          <w:p>
            <w:r>
              <w:t xml:space="preserve">Beta (levered, reported)</w:t>
            </w:r>
          </w:p>
        </w:tc>
        <w:tc>
          <w:tcPr>
            <w:tcW w:type="dxa" w:w="3600"/>
          </w:tcPr>
          <w:p>
            <w:r>
              <w:t xml:space="preserve">0.64</w:t>
            </w:r>
          </w:p>
        </w:tc>
        <w:tc>
          <w:tcPr>
            <w:tcW w:type="dxa" w:w="3600"/>
          </w:tcPr>
          <w:p>
            <w:r>
              <w:t xml:space="preserve">yfinance</w:t>
            </w:r>
          </w:p>
        </w:tc>
      </w:tr>
      <w:tr>
        <w:tc>
          <w:tcPr>
            <w:tcW w:type="dxa" w:w="3600"/>
          </w:tcPr>
          <w:p>
            <w:r>
              <w:t xml:space="preserve">CAPM cost of equity</w:t>
            </w:r>
          </w:p>
        </w:tc>
        <w:tc>
          <w:tcPr>
            <w:tcW w:type="dxa" w:w="3600"/>
          </w:tcPr>
          <w:p>
            <w:r>
              <w:t xml:space="preserve">8.0%</w:t>
            </w:r>
          </w:p>
        </w:tc>
        <w:tc>
          <w:tcPr>
            <w:tcW w:type="dxa" w:w="3600"/>
          </w:tcPr>
          <w:p>
            <w:r>
              <w:t xml:space="preserve">5.14% + 0.64 × 4.5%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bCs/>
              </w:rPr>
              <w:t xml:space="preserve">Cost of equity used (Base)</w:t>
            </w:r>
          </w:p>
        </w:tc>
        <w:tc>
          <w:tcPr>
            <w:tcW w:type="dxa" w:w="3600"/>
          </w:tcPr>
          <w:p>
            <w:r>
              <w:rPr>
                <w:b/>
                <w:bCs/>
              </w:rPr>
              <w:t xml:space="preserve">9.5%</w:t>
            </w:r>
          </w:p>
        </w:tc>
        <w:tc>
          <w:tcPr>
            <w:tcW w:type="dxa" w:w="3600"/>
          </w:tcPr>
          <w:p>
            <w:r>
              <w:t xml:space="preserve">Floored above CAPM. A beta of 0.64 understates the tail risk of a ~19× assets/equity intermediary (credit and counterparty events, e.g. 2008/MF Global-type stresses)</w:t>
            </w:r>
          </w:p>
        </w:tc>
      </w:tr>
      <w:tr>
        <w:tc>
          <w:tcPr>
            <w:tcW w:type="dxa" w:w="3600"/>
          </w:tcPr>
          <w:p>
            <w:r>
              <w:t xml:space="preserve">Stress case</w:t>
            </w:r>
          </w:p>
        </w:tc>
        <w:tc>
          <w:tcPr>
            <w:tcW w:type="dxa" w:w="3600"/>
          </w:tcPr>
          <w:p>
            <w:r>
              <w:t xml:space="preserve">10.5%</w:t>
            </w:r>
          </w:p>
        </w:tc>
        <w:tc>
          <w:tcPr>
            <w:tcW w:type="dxa" w:w="3600"/>
          </w:tcPr>
          <w:p>
            <w:r>
              <w:t xml:space="preserve">Sensitivity</w:t>
            </w:r>
          </w:p>
        </w:tc>
      </w:tr>
    </w:tbl>
    <w:p>
      <w:r>
        <w:rPr>
          <w:b/>
          <w:bCs/>
        </w:rPr>
        <w:t xml:space="preserve">Scenarios</w:t>
      </w:r>
      <w:r>
        <w:t xml:space="preserve"> (starting book value $23.70; 10-year ROE fade; terminal g 4%):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Scenario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ROE path (yr1 → terminal)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What it represents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Value/share (Re 9.5%)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€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Value/share (Re 10.5%)</w:t>
            </w:r>
          </w:p>
        </w:tc>
      </w:tr>
      <w:tr>
        <w:tc>
          <w:tcPr>
            <w:tcW w:type="dxa" w:w="1800"/>
          </w:tcPr>
          <w:p>
            <w:r>
              <w:t xml:space="preserve">Bear</w:t>
            </w:r>
          </w:p>
        </w:tc>
        <w:tc>
          <w:tcPr>
            <w:tcW w:type="dxa" w:w="1800"/>
          </w:tcPr>
          <w:p>
            <w:r>
              <w:t xml:space="preserve">14% → 11%</w:t>
            </w:r>
          </w:p>
        </w:tc>
        <w:tc>
          <w:tcPr>
            <w:tcW w:type="dxa" w:w="1800"/>
          </w:tcPr>
          <w:p>
            <w:r>
              <w:t xml:space="preserve">Rates cut 200bp, commodity volatility normalises, RJO synergies do not offset</w:t>
            </w:r>
          </w:p>
        </w:tc>
        <w:tc>
          <w:tcPr>
            <w:tcW w:type="dxa" w:w="1800"/>
          </w:tcPr>
          <w:p>
            <w:r>
              <w:t xml:space="preserve">$39.5</w:t>
            </w:r>
          </w:p>
        </w:tc>
        <w:tc>
          <w:tcPr>
            <w:tcW w:type="dxa" w:w="1800"/>
          </w:tcPr>
          <w:p>
            <w:r>
              <w:t xml:space="preserve">€34.7</w:t>
            </w:r>
          </w:p>
        </w:tc>
        <w:tc>
          <w:tcPr>
            <w:tcW w:type="dxa" w:w="1800"/>
          </w:tcPr>
          <w:p>
            <w:r>
              <w:t xml:space="preserve">$30.5</w:t>
            </w:r>
          </w:p>
        </w:tc>
      </w:tr>
      <w:tr>
        <w:tc>
          <w:tcPr>
            <w:tcW w:type="dxa" w:w="1800"/>
          </w:tcPr>
          <w:p>
            <w:r>
              <w:t xml:space="preserve">Base</w:t>
            </w:r>
          </w:p>
        </w:tc>
        <w:tc>
          <w:tcPr>
            <w:tcW w:type="dxa" w:w="1800"/>
          </w:tcPr>
          <w:p>
            <w:r>
              <w:t xml:space="preserve">19% → 14%</w:t>
            </w:r>
          </w:p>
        </w:tc>
        <w:tc>
          <w:tcPr>
            <w:tcW w:type="dxa" w:w="1800"/>
          </w:tcPr>
          <w:p>
            <w:r>
              <w:t xml:space="preserve">Current earnings power with gradual mean reversion</w:t>
            </w:r>
          </w:p>
        </w:tc>
        <w:tc>
          <w:tcPr>
            <w:tcW w:type="dxa" w:w="1800"/>
          </w:tcPr>
          <w:p>
            <w:r>
              <w:t xml:space="preserve">$80.0</w:t>
            </w:r>
          </w:p>
        </w:tc>
        <w:tc>
          <w:tcPr>
            <w:tcW w:type="dxa" w:w="1800"/>
          </w:tcPr>
          <w:p>
            <w:r>
              <w:t xml:space="preserve">€70.2</w:t>
            </w:r>
          </w:p>
        </w:tc>
        <w:tc>
          <w:tcPr>
            <w:tcW w:type="dxa" w:w="1800"/>
          </w:tcPr>
          <w:p>
            <w:r>
              <w:t xml:space="preserve">$61.8</w:t>
            </w:r>
          </w:p>
        </w:tc>
      </w:tr>
      <w:tr>
        <w:tc>
          <w:tcPr>
            <w:tcW w:type="dxa" w:w="1800"/>
          </w:tcPr>
          <w:p>
            <w:r>
              <w:t xml:space="preserve">Bull</w:t>
            </w:r>
          </w:p>
        </w:tc>
        <w:tc>
          <w:tcPr>
            <w:tcW w:type="dxa" w:w="1800"/>
          </w:tcPr>
          <w:p>
            <w:r>
              <w:t xml:space="preserve">21% → 16%</w:t>
            </w:r>
          </w:p>
        </w:tc>
        <w:tc>
          <w:tcPr>
            <w:tcW w:type="dxa" w:w="1800"/>
          </w:tcPr>
          <w:p>
            <w:r>
              <w:t xml:space="preserve">High-rate regime persists, synergies $50M+, revenue cross-sell works</w:t>
            </w:r>
          </w:p>
        </w:tc>
        <w:tc>
          <w:tcPr>
            <w:tcW w:type="dxa" w:w="1800"/>
          </w:tcPr>
          <w:p>
            <w:r>
              <w:t xml:space="preserve">$113.8</w:t>
            </w:r>
          </w:p>
        </w:tc>
        <w:tc>
          <w:tcPr>
            <w:tcW w:type="dxa" w:w="1800"/>
          </w:tcPr>
          <w:p>
            <w:r>
              <w:t xml:space="preserve">€99.9</w:t>
            </w:r>
          </w:p>
        </w:tc>
        <w:tc>
          <w:tcPr>
            <w:tcW w:type="dxa" w:w="1800"/>
          </w:tcPr>
          <w:p>
            <w:r>
              <w:t xml:space="preserve">$87.9</w:t>
            </w:r>
          </w:p>
        </w:tc>
      </w:tr>
    </w:tbl>
    <w:p>
      <w:r>
        <w:rPr>
          <w:b/>
          <w:bCs/>
        </w:rPr>
        <w:t xml:space="preserve">MoS Gate: BASE</w:t>
      </w:r>
      <w:r>
        <w:t xml:space="preserve"> at Re 9.5%: $69.52 &lt; $80.0. At Re 10.5% the Base value is $61.8 and the gate would be </w:t>
      </w:r>
      <w:r>
        <w:rPr>
          <w:b/>
          <w:bCs/>
        </w:rPr>
        <w:t xml:space="preserve">NONE</w:t>
      </w:r>
      <w:r>
        <w:t xml:space="preserve">. The verdict is sensitive to the discount rate, so it is stated as such.</w:t>
      </w:r>
    </w:p>
    <w:p>
      <w:r>
        <w:rPr>
          <w:b/>
          <w:bCs/>
        </w:rPr>
        <w:t xml:space="preserve">Cross-check (Banks appendix, P/TBV vs ROTE):</w:t>
      </w:r>
    </w:p>
    <w:p>
      <w:pPr>
        <w:pStyle w:val="ListParagraph"/>
        <w:numPr>
          <w:ilvl w:val="0"/>
          <w:numId w:val="1"/>
        </w:numPr>
      </w:pPr>
      <w:r>
        <w:t xml:space="preserve">P/TBV ≈ 4.0× ($69.52 / ~$17.4).</w:t>
      </w:r>
    </w:p>
    <w:p>
      <w:pPr>
        <w:pStyle w:val="ListParagraph"/>
        <w:numPr>
          <w:ilvl w:val="0"/>
          <w:numId w:val="1"/>
        </w:numPr>
      </w:pPr>
      <w:r>
        <w:t xml:space="preserve">Justified P/TBV at a sustained 25% ROTE, Re 9.5% and g 4% = (0.25 − 0.04)/(0.095 − 0.04) ≈ 3.8×.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price is fair if FQ3-26 tangible returns persist, and rich if they revert toward the ~14% FY25 level.</w:t>
      </w:r>
    </w:p>
    <w:p>
      <w:pPr>
        <w:pStyle w:val="ListParagraph"/>
        <w:numPr>
          <w:ilvl w:val="0"/>
          <w:numId w:val="1"/>
        </w:numPr>
      </w:pPr>
      <w:r>
        <w:t xml:space="preserve">P/B is 2.93×, against 1.5–1.6× in FY22–FY24. The re-rating has already happened.</w:t>
      </w:r>
    </w:p>
    <w:p>
      <w:r>
        <w:rPr>
          <w:b/>
          <w:bCs/>
        </w:rPr>
        <w:t xml:space="preserve">Sensitivity (Benninga), Base ROE path — Re × terminal g: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r>
              <w:t xml:space="preserve">Re \ g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2%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3%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4%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5%</w:t>
            </w:r>
          </w:p>
        </w:tc>
      </w:tr>
      <w:tr>
        <w:tc>
          <w:tcPr>
            <w:tcW w:type="dxa" w:w="2160"/>
          </w:tcPr>
          <w:p>
            <w:r>
              <w:t xml:space="preserve">8.5%</w:t>
            </w:r>
          </w:p>
        </w:tc>
        <w:tc>
          <w:tcPr>
            <w:tcW w:type="dxa" w:w="2160"/>
          </w:tcPr>
          <w:p>
            <w:r>
              <w:t xml:space="preserve">$89.0</w:t>
            </w:r>
          </w:p>
        </w:tc>
        <w:tc>
          <w:tcPr>
            <w:tcW w:type="dxa" w:w="2160"/>
          </w:tcPr>
          <w:p>
            <w:r>
              <w:t xml:space="preserve">$96.5</w:t>
            </w:r>
          </w:p>
        </w:tc>
        <w:tc>
          <w:tcPr>
            <w:tcW w:type="dxa" w:w="2160"/>
          </w:tcPr>
          <w:p>
            <w:r>
              <w:t xml:space="preserve">$107.2</w:t>
            </w:r>
          </w:p>
        </w:tc>
        <w:tc>
          <w:tcPr>
            <w:tcW w:type="dxa" w:w="2160"/>
          </w:tcPr>
          <w:p>
            <w:r>
              <w:t xml:space="preserve">$124.0</w:t>
            </w:r>
          </w:p>
        </w:tc>
      </w:tr>
      <w:tr>
        <w:tc>
          <w:tcPr>
            <w:tcW w:type="dxa" w:w="2160"/>
          </w:tcPr>
          <w:p>
            <w:r>
              <w:t xml:space="preserve">9.5%</w:t>
            </w:r>
          </w:p>
        </w:tc>
        <w:tc>
          <w:tcPr>
            <w:tcW w:type="dxa" w:w="2160"/>
          </w:tcPr>
          <w:p>
            <w:r>
              <w:t xml:space="preserve">$70.4</w:t>
            </w:r>
          </w:p>
        </w:tc>
        <w:tc>
          <w:tcPr>
            <w:tcW w:type="dxa" w:w="2160"/>
          </w:tcPr>
          <w:p>
            <w:r>
              <w:t xml:space="preserve">$74.5</w:t>
            </w:r>
          </w:p>
        </w:tc>
        <w:tc>
          <w:tcPr>
            <w:tcW w:type="dxa" w:w="2160"/>
          </w:tcPr>
          <w:p>
            <w:r>
              <w:rPr>
                <w:b/>
                <w:bCs/>
              </w:rPr>
              <w:t xml:space="preserve">$80.0</w:t>
            </w:r>
          </w:p>
        </w:tc>
        <w:tc>
          <w:tcPr>
            <w:tcW w:type="dxa" w:w="2160"/>
          </w:tcPr>
          <w:p>
            <w:r>
              <w:t xml:space="preserve">$88.0</w:t>
            </w:r>
          </w:p>
        </w:tc>
      </w:tr>
      <w:tr>
        <w:tc>
          <w:tcPr>
            <w:tcW w:type="dxa" w:w="2160"/>
          </w:tcPr>
          <w:p>
            <w:r>
              <w:t xml:space="preserve">10.5%</w:t>
            </w:r>
          </w:p>
        </w:tc>
        <w:tc>
          <w:tcPr>
            <w:tcW w:type="dxa" w:w="2160"/>
          </w:tcPr>
          <w:p>
            <w:r>
              <w:t xml:space="preserve">$56.7</w:t>
            </w:r>
          </w:p>
        </w:tc>
        <w:tc>
          <w:tcPr>
            <w:tcW w:type="dxa" w:w="2160"/>
          </w:tcPr>
          <w:p>
            <w:r>
              <w:t xml:space="preserve">$58.9</w:t>
            </w:r>
          </w:p>
        </w:tc>
        <w:tc>
          <w:tcPr>
            <w:tcW w:type="dxa" w:w="2160"/>
          </w:tcPr>
          <w:p>
            <w:r>
              <w:t xml:space="preserve">$61.8</w:t>
            </w:r>
          </w:p>
        </w:tc>
        <w:tc>
          <w:tcPr>
            <w:tcW w:type="dxa" w:w="2160"/>
          </w:tcPr>
          <w:p>
            <w:r>
              <w:t xml:space="preserve">$65.7</w:t>
            </w:r>
          </w:p>
        </w:tc>
      </w:tr>
      <w:tr>
        <w:tc>
          <w:tcPr>
            <w:tcW w:type="dxa" w:w="2160"/>
          </w:tcPr>
          <w:p>
            <w:r>
              <w:t xml:space="preserve">11.5%</w:t>
            </w:r>
          </w:p>
        </w:tc>
        <w:tc>
          <w:tcPr>
            <w:tcW w:type="dxa" w:w="2160"/>
          </w:tcPr>
          <w:p>
            <w:r>
              <w:t xml:space="preserve">$46.4</w:t>
            </w:r>
          </w:p>
        </w:tc>
        <w:tc>
          <w:tcPr>
            <w:tcW w:type="dxa" w:w="2160"/>
          </w:tcPr>
          <w:p>
            <w:r>
              <w:t xml:space="preserve">$47.5</w:t>
            </w:r>
          </w:p>
        </w:tc>
        <w:tc>
          <w:tcPr>
            <w:tcW w:type="dxa" w:w="2160"/>
          </w:tcPr>
          <w:p>
            <w:r>
              <w:t xml:space="preserve">$49.0</w:t>
            </w:r>
          </w:p>
        </w:tc>
        <w:tc>
          <w:tcPr>
            <w:tcW w:type="dxa" w:w="2160"/>
          </w:tcPr>
          <w:p>
            <w:r>
              <w:t xml:space="preserve">$50.8</w:t>
            </w:r>
          </w:p>
        </w:tc>
      </w:tr>
    </w:tbl>
    <w:p>
      <w:r>
        <w:rPr>
          <w:b/>
          <w:bCs/>
        </w:rPr>
        <w:t xml:space="preserve">ROE-path grid at Re 9.5%: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shd w:fill="D9D9D9" w:val="clear"/>
          </w:tcPr>
          <w:p>
            <w:r>
              <w:t xml:space="preserve">ROE path</w:t>
            </w:r>
          </w:p>
        </w:tc>
        <w:tc>
          <w:tcPr>
            <w:tcW w:type="dxa" w:w="5400"/>
            <w:shd w:fill="D9D9D9" w:val="clear"/>
          </w:tcPr>
          <w:p>
            <w:r>
              <w:t xml:space="preserve">Value/share</w:t>
            </w:r>
          </w:p>
        </w:tc>
      </w:tr>
      <w:tr>
        <w:tc>
          <w:tcPr>
            <w:tcW w:type="dxa" w:w="5400"/>
          </w:tcPr>
          <w:p>
            <w:r>
              <w:t xml:space="preserve">14% → 11%</w:t>
            </w:r>
          </w:p>
        </w:tc>
        <w:tc>
          <w:tcPr>
            <w:tcW w:type="dxa" w:w="5400"/>
          </w:tcPr>
          <w:p>
            <w:r>
              <w:t xml:space="preserve">$39.5</w:t>
            </w:r>
          </w:p>
        </w:tc>
      </w:tr>
      <w:tr>
        <w:tc>
          <w:tcPr>
            <w:tcW w:type="dxa" w:w="5400"/>
          </w:tcPr>
          <w:p>
            <w:r>
              <w:t xml:space="preserve">17% → 12%</w:t>
            </w:r>
          </w:p>
        </w:tc>
        <w:tc>
          <w:tcPr>
            <w:tcW w:type="dxa" w:w="5400"/>
          </w:tcPr>
          <w:p>
            <w:r>
              <w:t xml:space="preserve">$53.8</w:t>
            </w:r>
          </w:p>
        </w:tc>
      </w:tr>
      <w:tr>
        <w:tc>
          <w:tcPr>
            <w:tcW w:type="dxa" w:w="5400"/>
          </w:tcPr>
          <w:p>
            <w:r>
              <w:t xml:space="preserve">19% → 14%</w:t>
            </w:r>
          </w:p>
        </w:tc>
        <w:tc>
          <w:tcPr>
            <w:tcW w:type="dxa" w:w="5400"/>
          </w:tcPr>
          <w:p>
            <w:r>
              <w:t xml:space="preserve">$80.0</w:t>
            </w:r>
          </w:p>
        </w:tc>
      </w:tr>
      <w:tr>
        <w:tc>
          <w:tcPr>
            <w:tcW w:type="dxa" w:w="5400"/>
          </w:tcPr>
          <w:p>
            <w:r>
              <w:t xml:space="preserve">21% → 16%</w:t>
            </w:r>
          </w:p>
        </w:tc>
        <w:tc>
          <w:tcPr>
            <w:tcW w:type="dxa" w:w="5400"/>
          </w:tcPr>
          <w:p>
            <w:r>
              <w:t xml:space="preserve">$113.8</w:t>
            </w:r>
          </w:p>
        </w:tc>
      </w:tr>
      <w:tr>
        <w:tc>
          <w:tcPr>
            <w:tcW w:type="dxa" w:w="5400"/>
          </w:tcPr>
          <w:p>
            <w:r>
              <w:t xml:space="preserve">23% → 17%</w:t>
            </w:r>
          </w:p>
        </w:tc>
        <w:tc>
          <w:tcPr>
            <w:tcW w:type="dxa" w:w="5400"/>
          </w:tcPr>
          <w:p>
            <w:r>
              <w:t xml:space="preserve">$139.8</w:t>
            </w:r>
          </w:p>
        </w:tc>
      </w:tr>
    </w:tbl>
    <w:p>
      <w:r>
        <w:t xml:space="preserve">The terminal-value share is not reported: this is an excess-return model, where book value anchors about a third of the value.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r>
        <w:rPr>
          <w:b/>
          <w:bCs/>
        </w:rPr>
        <w:t xml:space="preserve">What the price needs:</w:t>
      </w:r>
    </w:p>
    <w:p>
      <w:pPr>
        <w:pStyle w:val="ListParagraph"/>
        <w:numPr>
          <w:ilvl w:val="0"/>
          <w:numId w:val="1"/>
        </w:numPr>
      </w:pPr>
      <w:r>
        <w:t xml:space="preserve">Holding year-1 ROE at 19%, the price of $69.52 implies a </w:t>
      </w:r>
      <w:r>
        <w:rPr>
          <w:b/>
          <w:bCs/>
        </w:rPr>
        <w:t xml:space="preserve">terminal ROE of ~13.1%</w:t>
      </w:r>
      <w:r>
        <w:t xml:space="preserve"> at Re 9.5%.</w:t>
      </w:r>
    </w:p>
    <w:p>
      <w:pPr>
        <w:pStyle w:val="ListParagraph"/>
        <w:numPr>
          <w:ilvl w:val="0"/>
          <w:numId w:val="1"/>
        </w:numPr>
      </w:pPr>
      <w:r>
        <w:t xml:space="preserve">The implied ROE is ~2pp *below* FY25's 15.0% and well below TTM's 20.8%.</w:t>
      </w:r>
    </w:p>
    <w:p>
      <w:pPr>
        <w:pStyle w:val="ListParagraph"/>
        <w:numPr>
          <w:ilvl w:val="0"/>
          <w:numId w:val="1"/>
        </w:numPr>
      </w:pPr>
      <w:r>
        <w:t xml:space="preserve">At Re 10.5%, the price needs roughly the Base path (19% → 14%).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Conclusion:</w:t>
      </w:r>
      <w:r>
        <w:t xml:space="preserve"> the market is not pricing today's earnings as permanent. It prices a clear fade. Implied expectations are at or below the base rate, which is positive asymmetry *if* short rates don't collapse.</w:t>
      </w:r>
    </w:p>
    <w:p>
      <w:r>
        <w:rPr>
          <w:b/>
          <w:bCs/>
        </w:rPr>
        <w:t xml:space="preserve">What has to be true:</w:t>
      </w:r>
    </w:p>
    <w:p>
      <w:r>
        <w:t xml:space="preserve">1. Short rates stay ≥ ~3.5% over the medium term. Each 100bp is ~$0.38/share, ≈9% of TTM EPS (~$4.2).</w:t>
      </w:r>
    </w:p>
    <w:p>
      <w:r>
        <w:t xml:space="preserve">2. Client equity from RJO is retained. Average client equity of $15.0B is the key number to watch.</w:t>
      </w:r>
    </w:p>
    <w:p>
      <w:r>
        <w:t xml:space="preserve">3. Synergies reach $50M.</w:t>
      </w:r>
    </w:p>
    <w:p>
      <w:r>
        <w:t xml:space="preserve">4. Dilution slows to ≤2%/yr.</w:t>
      </w:r>
    </w:p>
    <w:p>
      <w:r>
        <w:rPr>
          <w:b/>
          <w:bCs/>
        </w:rPr>
        <w:t xml:space="preserve">Moat and CAP:</w:t>
      </w:r>
    </w:p>
    <w:p>
      <w:pPr>
        <w:pStyle w:val="ListParagraph"/>
        <w:numPr>
          <w:ilvl w:val="0"/>
          <w:numId w:val="1"/>
        </w:numPr>
      </w:pPr>
      <w:r>
        <w:t xml:space="preserve">Cost advantage (scale in clearing and the introducing-broker network) plus switching costs (commercial hedging relationships, embedded clearing) plus regulatory licences (FCM, broker-dealer, payments licences in many jurisdictions).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Narrow-to-wide moat; estimated CAP ~7 years.</w:t>
      </w:r>
      <w:r>
        <w:t xml:space="preserve"> Already earned, not conditional on a milestone.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 Market growth potential:</w:t>
      </w:r>
      <w:r>
        <w:t xml:space="preserve"> positive. Clearing consolidation favours scale non-bank FCMs as banks retreat from lower-margin client clearing. Payments ADV is +20%.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#5/#6 Margins:</w:t>
      </w:r>
    </w:p>
    <w:p>
      <w:r>
        <w:t xml:space="preserve">  - Positive. Segment income margins are rising in Commercial (56%) and Payments (61%).</w:t>
      </w:r>
    </w:p>
    <w:p>
      <w:r>
        <w:t xml:space="preserve">  - Negative. The Retail margin fell from 50% to 39% on −17% NOR.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#11 Competitive edge:</w:t>
      </w:r>
      <w:r>
        <w:t xml:space="preserve"> positive. Largest non-bank FCM, with breadth across listed, OTC, physical, FX and payments.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#12 Short vs long-term outlook:</w:t>
      </w:r>
      <w:r>
        <w:t xml:space="preserve"> the near term is inflated by rates and volatility. The long-term driver is scale and cross-sell.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#13 Dilution:</w:t>
      </w:r>
      <w:r>
        <w:t xml:space="preserve"> moderate negative, ≈4.3%/yr including RJO and ≈2%/yr organic. No buyback to offset it.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#15 Integrity/disclosure:</w:t>
      </w:r>
    </w:p>
    <w:p>
      <w:r>
        <w:t xml:space="preserve">  - Neutral to positive. Management discloses rate sensitivity explicitly, per 25bp.</w:t>
      </w:r>
    </w:p>
    <w:p>
      <w:r>
        <w:t xml:space="preserve">  - Insider selling (~$1.36M in Sept 2026) with no buys is a mild negative. Insiders still own ~9.1%.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shd w:fill="D9D9D9" w:val="clear"/>
          </w:tcPr>
          <w:p>
            <w:r>
              <w:t xml:space="preserve">Factor</w:t>
            </w:r>
          </w:p>
        </w:tc>
        <w:tc>
          <w:tcPr>
            <w:tcW w:type="dxa" w:w="5400"/>
            <w:shd w:fill="D9D9D9" w:val="clear"/>
          </w:tcPr>
          <w:p>
            <w:r>
              <w:t xml:space="preserve">Read</w:t>
            </w:r>
          </w:p>
        </w:tc>
      </w:tr>
      <w:tr>
        <w:tc>
          <w:tcPr>
            <w:tcW w:type="dxa" w:w="5400"/>
          </w:tcPr>
          <w:p>
            <w:r>
              <w:t xml:space="preserve">Value</w:t>
            </w:r>
          </w:p>
        </w:tc>
        <w:tc>
          <w:tcPr>
            <w:tcW w:type="dxa" w:w="5400"/>
          </w:tcPr>
          <w:p>
            <w:r>
              <w:t xml:space="preserve">Present, moderate. TTM P/E ~16.5×, forward ~14.7×. But P/B at 2.9× vs 1.5× history means the value premium has largely been harvested</w:t>
            </w:r>
          </w:p>
        </w:tc>
      </w:tr>
      <w:tr>
        <w:tc>
          <w:tcPr>
            <w:tcW w:type="dxa" w:w="5400"/>
          </w:tcPr>
          <w:p>
            <w:r>
              <w:t xml:space="preserve">Quality</w:t>
            </w:r>
          </w:p>
        </w:tc>
        <w:tc>
          <w:tcPr>
            <w:tcW w:type="dxa" w:w="5400"/>
          </w:tcPr>
          <w:p>
            <w:r>
              <w:t xml:space="preserve">Present. ROE 18–21%, ROTE 25%, diversified segments</w:t>
            </w:r>
          </w:p>
        </w:tc>
      </w:tr>
      <w:tr>
        <w:tc>
          <w:tcPr>
            <w:tcW w:type="dxa" w:w="5400"/>
          </w:tcPr>
          <w:p>
            <w:r>
              <w:t xml:space="preserve">Momentum</w:t>
            </w:r>
          </w:p>
        </w:tc>
        <w:tc>
          <w:tcPr>
            <w:tcW w:type="dxa" w:w="5400"/>
          </w:tcPr>
          <w:p>
            <w:r>
              <w:t xml:space="preserve">Mixed. 12-1 month +58%, but −24% over 3 months: the intermediate trend is broken</w:t>
            </w:r>
          </w:p>
        </w:tc>
      </w:tr>
      <w:tr>
        <w:tc>
          <w:tcPr>
            <w:tcW w:type="dxa" w:w="5400"/>
          </w:tcPr>
          <w:p>
            <w:r>
              <w:t xml:space="preserve">Low Beta</w:t>
            </w:r>
          </w:p>
        </w:tc>
        <w:tc>
          <w:tcPr>
            <w:tcW w:type="dxa" w:w="5400"/>
          </w:tcPr>
          <w:p>
            <w:r>
              <w:t xml:space="preserve">Present. Beta 0.64</w:t>
            </w:r>
          </w:p>
        </w:tc>
      </w:tr>
    </w:tbl>
    <w:p>
      <w:r>
        <w:rPr>
          <w:b/>
          <w:bCs/>
        </w:rPr>
        <w:t xml:space="preserve">Net:</w:t>
      </w:r>
      <w:r>
        <w:t xml:space="preserve"> Quality plus low-beta, with residual value. It is not a clean overlap, because momentum is currently negative.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Criterion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Result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Evidence</w:t>
            </w:r>
          </w:p>
        </w:tc>
      </w:tr>
      <w:tr>
        <w:tc>
          <w:tcPr>
            <w:tcW w:type="dxa" w:w="3600"/>
          </w:tcPr>
          <w:p>
            <w:r>
              <w:t xml:space="preserve">ROIC/ROE 5-yr avg &gt; 15%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ROE FY22–TTM: 19.4 / 19.5 / 16.9 / 15.0 / 18.5% (avg ~17.9%)</w:t>
            </w:r>
          </w:p>
        </w:tc>
      </w:tr>
      <w:tr>
        <w:tc>
          <w:tcPr>
            <w:tcW w:type="dxa" w:w="3600"/>
          </w:tcPr>
          <w:p>
            <w:r>
              <w:t xml:space="preserve">ROIC trend stable/improving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Trough FY25 15.0% → TTM 18.5–20.8%</w:t>
            </w:r>
          </w:p>
        </w:tc>
      </w:tr>
      <w:tr>
        <w:tc>
          <w:tcPr>
            <w:tcW w:type="dxa" w:w="3600"/>
          </w:tcPr>
          <w:p>
            <w:r>
              <w:t xml:space="preserve">Operating margin &gt; 15%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Segment income ~49% of segment NOR (9M FY26: $1,168M / $2,366M). Pretax on NOR ≈ 25%+</w:t>
            </w:r>
          </w:p>
        </w:tc>
      </w:tr>
      <w:tr>
        <w:tc>
          <w:tcPr>
            <w:tcW w:type="dxa" w:w="3600"/>
          </w:tcPr>
          <w:p>
            <w:r>
              <w:t xml:space="preserve">FCF conversion &gt; 80%</w:t>
            </w:r>
          </w:p>
        </w:tc>
        <w:tc>
          <w:tcPr>
            <w:tcW w:type="dxa" w:w="3600"/>
          </w:tcPr>
          <w:p>
            <w:r>
              <w:t xml:space="preserve">n/a</w:t>
            </w:r>
          </w:p>
        </w:tc>
        <w:tc>
          <w:tcPr>
            <w:tcW w:type="dxa" w:w="3600"/>
          </w:tcPr>
          <w:p>
            <w:r>
              <w:t xml:space="preserve">Client funds make OCF meaningless</w:t>
            </w:r>
          </w:p>
        </w:tc>
      </w:tr>
      <w:tr>
        <w:tc>
          <w:tcPr>
            <w:tcW w:type="dxa" w:w="3600"/>
          </w:tcPr>
          <w:p>
            <w:r>
              <w:t xml:space="preserve">CapEx/revenue &lt; 10%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CapEx $65M FY25 vs ~$2.4B NOR ≈ 3%</w:t>
            </w:r>
          </w:p>
        </w:tc>
      </w:tr>
      <w:tr>
        <w:tc>
          <w:tcPr>
            <w:tcW w:type="dxa" w:w="3600"/>
          </w:tcPr>
          <w:p>
            <w:r>
              <w:t xml:space="preserve">Self-funded (dilution &lt; 3%/yr)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≈4.3%/yr FY22 → now, including RJO stock</w:t>
            </w:r>
          </w:p>
        </w:tc>
      </w:tr>
      <w:tr>
        <w:tc>
          <w:tcPr>
            <w:tcW w:type="dxa" w:w="3600"/>
          </w:tcPr>
          <w:p>
            <w:r>
              <w:t xml:space="preserve">Management ownership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Insiders ~9.1%</w:t>
            </w:r>
          </w:p>
        </w:tc>
      </w:tr>
      <w:tr>
        <w:tc>
          <w:tcPr>
            <w:tcW w:type="dxa" w:w="3600"/>
          </w:tcPr>
          <w:p>
            <w:r>
              <w:t xml:space="preserve">Buyback discipline</w:t>
            </w:r>
          </w:p>
        </w:tc>
        <w:tc>
          <w:tcPr>
            <w:tcW w:type="dxa" w:w="3600"/>
          </w:tcPr>
          <w:p>
            <w:r>
              <w:t xml:space="preserve">❌ Fail</w:t>
            </w:r>
          </w:p>
        </w:tc>
        <w:tc>
          <w:tcPr>
            <w:tcW w:type="dxa" w:w="3600"/>
          </w:tcPr>
          <w:p>
            <w:r>
              <w:t xml:space="preserve">No meaningful buybacks since FY21</w:t>
            </w:r>
          </w:p>
        </w:tc>
      </w:tr>
      <w:tr>
        <w:tc>
          <w:tcPr>
            <w:tcW w:type="dxa" w:w="3600"/>
          </w:tcPr>
          <w:p>
            <w:r>
              <w:t xml:space="preserve">M&amp;A discipline</w:t>
            </w:r>
          </w:p>
        </w:tc>
        <w:tc>
          <w:tcPr>
            <w:tcW w:type="dxa" w:w="3600"/>
          </w:tcPr>
          <w:p>
            <w:r>
              <w:t xml:space="preserve">✅ Pass</w:t>
            </w:r>
          </w:p>
        </w:tc>
        <w:tc>
          <w:tcPr>
            <w:tcW w:type="dxa" w:w="3600"/>
          </w:tcPr>
          <w:p>
            <w:r>
              <w:t xml:space="preserve">RJO bought for ~$900M. Goodwill+intangibles $736M = 1.6% of assets. Synergies on or ahead of plan</w:t>
            </w:r>
          </w:p>
        </w:tc>
      </w:tr>
    </w:tbl>
    <w:p>
      <w:r>
        <w:rPr>
          <w:b/>
          <w:bCs/>
        </w:rPr>
        <w:t xml:space="preserve">6 of 8 scorable → QUALITY.</w:t>
      </w:r>
      <w:r>
        <w:t xml:space="preserve"> It is not a COMPOUNDER: dilution plus no buyback, and too much of the earnings power is borrowed from the rate cycle.</w:t>
      </w:r>
    </w:p>
    <w:p>
      <w:r>
        <w:rPr>
          <w:b/>
          <w:bCs/>
        </w:rPr>
        <w:t xml:space="preserve">Capital allocation (Thorndike):</w:t>
      </w:r>
    </w:p>
    <w:p>
      <w:pPr>
        <w:pStyle w:val="ListParagraph"/>
        <w:numPr>
          <w:ilvl w:val="0"/>
          <w:numId w:val="1"/>
        </w:numPr>
      </w:pPr>
      <w:r>
        <w:t xml:space="preserve">Reinvestment good (ROE &gt;&gt; Re).</w:t>
      </w:r>
    </w:p>
    <w:p>
      <w:pPr>
        <w:pStyle w:val="ListParagraph"/>
        <w:numPr>
          <w:ilvl w:val="0"/>
          <w:numId w:val="1"/>
        </w:numPr>
      </w:pPr>
      <w:r>
        <w:t xml:space="preserve">Acquisitions good (RJO disciplined so far).</w:t>
      </w:r>
    </w:p>
    <w:p>
      <w:pPr>
        <w:pStyle w:val="ListParagraph"/>
        <w:numPr>
          <w:ilvl w:val="0"/>
          <w:numId w:val="1"/>
        </w:numPr>
      </w:pPr>
      <w:r>
        <w:t xml:space="preserve">Buybacks absent.</w:t>
      </w:r>
    </w:p>
    <w:p>
      <w:pPr>
        <w:pStyle w:val="ListParagraph"/>
        <w:numPr>
          <w:ilvl w:val="0"/>
          <w:numId w:val="1"/>
        </w:numPr>
      </w:pPr>
      <w:r>
        <w:t xml:space="preserve">Debt appropriate to the business model.</w:t>
      </w:r>
    </w:p>
    <w:p>
      <w:pPr>
        <w:pStyle w:val="Heading2"/>
        <w:spacing w:after="120" w:before="240"/>
      </w:pPr>
      <w:r>
        <w:t xml:space="preserve">10. Sector Appendix — Capital Markets / FCM (Banks + Fintech &amp; Payments cross-check)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Current value</w:t>
            </w:r>
          </w:p>
        </w:tc>
        <w:tc>
          <w:tcPr>
            <w:tcW w:type="dxa" w:w="3600"/>
            <w:shd w:fill="D9D9D9" w:val="clear"/>
          </w:tcPr>
          <w:p>
            <w:r>
              <w:t xml:space="preserve">Threshold read</w:t>
            </w:r>
          </w:p>
        </w:tc>
      </w:tr>
      <w:tr>
        <w:tc>
          <w:tcPr>
            <w:tcW w:type="dxa" w:w="3600"/>
          </w:tcPr>
          <w:p>
            <w:r>
              <w:t xml:space="preserve">ROTE</w:t>
            </w:r>
          </w:p>
        </w:tc>
        <w:tc>
          <w:tcPr>
            <w:tcW w:type="dxa" w:w="3600"/>
          </w:tcPr>
          <w:p>
            <w:r>
              <w:t xml:space="preserve">25.0% (FQ3-26); 31.2% (9M FY26)</w:t>
            </w:r>
          </w:p>
        </w:tc>
        <w:tc>
          <w:tcPr>
            <w:tcW w:type="dxa" w:w="3600"/>
          </w:tcPr>
          <w:p>
            <w:r>
              <w:t xml:space="preserve">Strong (&gt; 14%)</w:t>
            </w:r>
          </w:p>
        </w:tc>
      </w:tr>
      <w:tr>
        <w:tc>
          <w:tcPr>
            <w:tcW w:type="dxa" w:w="3600"/>
          </w:tcPr>
          <w:p>
            <w:r>
              <w:t xml:space="preserve">ROE</w:t>
            </w:r>
          </w:p>
        </w:tc>
        <w:tc>
          <w:tcPr>
            <w:tcW w:type="dxa" w:w="3600"/>
          </w:tcPr>
          <w:p>
            <w:r>
              <w:t xml:space="preserve">18.4% (FQ3-26); 20.8% TTM</w:t>
            </w:r>
          </w:p>
        </w:tc>
        <w:tc>
          <w:tcPr>
            <w:tcW w:type="dxa" w:w="3600"/>
          </w:tcPr>
          <w:p>
            <w:r>
              <w:t xml:space="preserve">Strong</w:t>
            </w:r>
          </w:p>
        </w:tc>
      </w:tr>
      <w:tr>
        <w:tc>
          <w:tcPr>
            <w:tcW w:type="dxa" w:w="3600"/>
          </w:tcPr>
          <w:p>
            <w:r>
              <w:t xml:space="preserve">P/TBV</w:t>
            </w:r>
          </w:p>
        </w:tc>
        <w:tc>
          <w:tcPr>
            <w:tcW w:type="dxa" w:w="3600"/>
          </w:tcPr>
          <w:p>
            <w:r>
              <w:t xml:space="preserve">~4.0×</w:t>
            </w:r>
          </w:p>
        </w:tc>
        <w:tc>
          <w:tcPr>
            <w:tcW w:type="dxa" w:w="3600"/>
          </w:tcPr>
          <w:p>
            <w:r>
              <w:t xml:space="preserve">Justified ~3.8× at sustained 25% ROTE, so fair, not cheap</w:t>
            </w:r>
          </w:p>
        </w:tc>
      </w:tr>
      <w:tr>
        <w:tc>
          <w:tcPr>
            <w:tcW w:type="dxa" w:w="3600"/>
          </w:tcPr>
          <w:p>
            <w:r>
              <w:t xml:space="preserve">Fee/non-interest share of NOR</w:t>
            </w:r>
          </w:p>
        </w:tc>
        <w:tc>
          <w:tcPr>
            <w:tcW w:type="dxa" w:w="3600"/>
          </w:tcPr>
          <w:p>
            <w:r>
              <w:t xml:space="preserve">~76.5% (interest on client balances 23.5%)</w:t>
            </w:r>
          </w:p>
        </w:tc>
        <w:tc>
          <w:tcPr>
            <w:tcW w:type="dxa" w:w="3600"/>
          </w:tcPr>
          <w:p>
            <w:r>
              <w:t xml:space="preserve">Strong (&gt; 30%)</w:t>
            </w:r>
          </w:p>
        </w:tc>
      </w:tr>
      <w:tr>
        <w:tc>
          <w:tcPr>
            <w:tcW w:type="dxa" w:w="3600"/>
          </w:tcPr>
          <w:p>
            <w:r>
              <w:t xml:space="preserve">Variable comp / non-interest expense</w:t>
            </w:r>
          </w:p>
        </w:tc>
        <w:tc>
          <w:tcPr>
            <w:tcW w:type="dxa" w:w="3600"/>
          </w:tcPr>
          <w:p>
            <w:r>
              <w:t xml:space="preserve">30% (from 26%)</w:t>
            </w:r>
          </w:p>
        </w:tc>
        <w:tc>
          <w:tcPr>
            <w:tcW w:type="dxa" w:w="3600"/>
          </w:tcPr>
          <w:p>
            <w:r>
              <w:t xml:space="preserve">Rising payout to producers. Watch</w:t>
            </w:r>
          </w:p>
        </w:tc>
      </w:tr>
      <w:tr>
        <w:tc>
          <w:tcPr>
            <w:tcW w:type="dxa" w:w="3600"/>
          </w:tcPr>
          <w:p>
            <w:r>
              <w:t xml:space="preserve">Client equity growth</w:t>
            </w:r>
          </w:p>
        </w:tc>
        <w:tc>
          <w:tcPr>
            <w:tcW w:type="dxa" w:w="3600"/>
          </w:tcPr>
          <w:p>
            <w:r>
              <w:t xml:space="preserve">+129% YoY (RJO)</w:t>
            </w:r>
          </w:p>
        </w:tc>
        <w:tc>
          <w:tcPr>
            <w:tcW w:type="dxa" w:w="3600"/>
          </w:tcPr>
          <w:p>
            <w:r>
              <w:t xml:space="preserve">Volume driver. The organic rate is not separable from sources</w:t>
            </w:r>
          </w:p>
        </w:tc>
      </w:tr>
      <w:tr>
        <w:tc>
          <w:tcPr>
            <w:tcW w:type="dxa" w:w="3600"/>
          </w:tcPr>
          <w:p>
            <w:r>
              <w:t xml:space="preserve">Listed-derivatives rate/contract</w:t>
            </w:r>
          </w:p>
        </w:tc>
        <w:tc>
          <w:tcPr>
            <w:tcW w:type="dxa" w:w="3600"/>
          </w:tcPr>
          <w:p>
            <w:r>
              <w:t xml:space="preserve">$2.61, +23%</w:t>
            </w:r>
          </w:p>
        </w:tc>
        <w:tc>
          <w:tcPr>
            <w:tcW w:type="dxa" w:w="3600"/>
          </w:tcPr>
          <w:p>
            <w:r>
              <w:t xml:space="preserve">Pricing power in clearing</w:t>
            </w:r>
          </w:p>
        </w:tc>
      </w:tr>
      <w:tr>
        <w:tc>
          <w:tcPr>
            <w:tcW w:type="dxa" w:w="3600"/>
          </w:tcPr>
          <w:p>
            <w:r>
              <w:t xml:space="preserve">Payments ADV / take rate (RPM)</w:t>
            </w:r>
          </w:p>
        </w:tc>
        <w:tc>
          <w:tcPr>
            <w:tcW w:type="dxa" w:w="3600"/>
          </w:tcPr>
          <w:p>
            <w:r>
              <w:t xml:space="preserve">+20% / −7%</w:t>
            </w:r>
          </w:p>
        </w:tc>
        <w:tc>
          <w:tcPr>
            <w:tcW w:type="dxa" w:w="3600"/>
          </w:tcPr>
          <w:p>
            <w:r>
              <w:t xml:space="preserve">Classic payments trade-off: volume up, take rate down</w:t>
            </w:r>
          </w:p>
        </w:tc>
      </w:tr>
      <w:tr>
        <w:tc>
          <w:tcPr>
            <w:tcW w:type="dxa" w:w="3600"/>
          </w:tcPr>
          <w:p>
            <w:r>
              <w:t xml:space="preserve">FX/CFD ADV / RPM</w:t>
            </w:r>
          </w:p>
        </w:tc>
        <w:tc>
          <w:tcPr>
            <w:tcW w:type="dxa" w:w="3600"/>
          </w:tcPr>
          <w:p>
            <w:r>
              <w:t xml:space="preserve">−12% / −8%</w:t>
            </w:r>
          </w:p>
        </w:tc>
        <w:tc>
          <w:tcPr>
            <w:tcW w:type="dxa" w:w="3600"/>
          </w:tcPr>
          <w:p>
            <w:r>
              <w:t xml:space="preserve">Retail franchise weakening</w:t>
            </w:r>
          </w:p>
        </w:tc>
      </w:tr>
      <w:tr>
        <w:tc>
          <w:tcPr>
            <w:tcW w:type="dxa" w:w="3600"/>
          </w:tcPr>
          <w:p>
            <w:r>
              <w:t xml:space="preserve">Rate sensitivity</w:t>
            </w:r>
          </w:p>
        </w:tc>
        <w:tc>
          <w:tcPr>
            <w:tcW w:type="dxa" w:w="3600"/>
          </w:tcPr>
          <w:p>
            <w:r>
              <w:t xml:space="preserve">±$0.38/share per ±100bp</w:t>
            </w:r>
          </w:p>
        </w:tc>
        <w:tc>
          <w:tcPr>
            <w:tcW w:type="dxa" w:w="3600"/>
          </w:tcPr>
          <w:p>
            <w:r>
              <w:t xml:space="preserve">The key macro exposure</w:t>
            </w:r>
          </w:p>
        </w:tc>
      </w:tr>
    </w:tbl>
    <w:p>
      <w:pPr>
        <w:pStyle w:val="Heading2"/>
        <w:spacing w:after="120" w:before="240"/>
      </w:pPr>
      <w:r>
        <w:t xml:space="preserve">11. Five-Year Ratio Trend Analysis</w:t>
      </w:r>
    </w:p>
    <w:p>
      <w:r>
        <w:rPr>
          <w:b/>
          <w:bCs/>
        </w:rPr>
        <w:t xml:space="preserve">Data availability:</w:t>
      </w:r>
    </w:p>
    <w:p>
      <w:pPr>
        <w:pStyle w:val="ListParagraph"/>
        <w:numPr>
          <w:ilvl w:val="0"/>
          <w:numId w:val="1"/>
        </w:numPr>
      </w:pPr>
      <w:r>
        <w:t xml:space="preserve">Only four fiscal years (FY22–FY25, Sept fiscal year-end) plus TTM are available from the data source (yfinance). FY21 is not available and is not padded.</w:t>
      </w:r>
    </w:p>
    <w:p>
      <w:pPr>
        <w:pStyle w:val="ListParagraph"/>
        <w:numPr>
          <w:ilvl w:val="0"/>
          <w:numId w:val="1"/>
        </w:numPr>
      </w:pPr>
      <w:r>
        <w:t xml:space="preserve">Share counts are split-adjusted, including the Jul 2026 3-for-2 split.</w:t>
      </w:r>
    </w:p>
    <w:p>
      <w:pPr>
        <w:pStyle w:val="ListParagraph"/>
        <w:numPr>
          <w:ilvl w:val="0"/>
          <w:numId w:val="1"/>
        </w:numPr>
      </w:pPr>
      <w:r>
        <w:t xml:space="preserve">Gross "revenue" includes physical commodity turnover.</w:t>
      </w:r>
    </w:p>
    <w:p>
      <w:pPr>
        <w:pStyle w:val="Heading3"/>
        <w:spacing w:after="100" w:before="200"/>
      </w:pPr>
      <w:r>
        <w:t xml:space="preserve">Base Ratio Table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FY2022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FY2023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FY2024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FY2025</w:t>
            </w:r>
          </w:p>
        </w:tc>
        <w:tc>
          <w:tcPr>
            <w:tcW w:type="dxa" w:w="1800"/>
            <w:shd w:fill="D9D9D9" w:val="clear"/>
          </w:tcPr>
          <w:p>
            <w:r>
              <w:t xml:space="preserve">TTM</w:t>
            </w:r>
          </w:p>
        </w:tc>
      </w:tr>
      <w:tr>
        <w:tc>
          <w:tcPr>
            <w:tcW w:type="dxa" w:w="1800"/>
          </w:tcPr>
          <w:p>
            <w:r>
              <w:t xml:space="preserve">Revenue (gross, incl. physical)</w:t>
            </w:r>
          </w:p>
        </w:tc>
        <w:tc>
          <w:tcPr>
            <w:tcW w:type="dxa" w:w="1800"/>
          </w:tcPr>
          <w:p>
            <w:r>
              <w:t xml:space="preserve">$66.04B</w:t>
            </w:r>
          </w:p>
        </w:tc>
        <w:tc>
          <w:tcPr>
            <w:tcW w:type="dxa" w:w="1800"/>
          </w:tcPr>
          <w:p>
            <w:r>
              <w:t xml:space="preserve">$60.86B</w:t>
            </w:r>
          </w:p>
        </w:tc>
        <w:tc>
          <w:tcPr>
            <w:tcW w:type="dxa" w:w="1800"/>
          </w:tcPr>
          <w:p>
            <w:r>
              <w:t xml:space="preserve">$99.89B</w:t>
            </w:r>
          </w:p>
        </w:tc>
        <w:tc>
          <w:tcPr>
            <w:tcW w:type="dxa" w:w="1800"/>
          </w:tcPr>
          <w:p>
            <w:r>
              <w:t xml:space="preserve">$132.38B</w:t>
            </w:r>
          </w:p>
        </w:tc>
        <w:tc>
          <w:tcPr>
            <w:tcW w:type="dxa" w:w="1800"/>
          </w:tcPr>
          <w:p>
            <w:r>
              <w:t xml:space="preserve">$157.71B</w:t>
            </w:r>
          </w:p>
        </w:tc>
      </w:tr>
      <w:tr>
        <w:tc>
          <w:tcPr>
            <w:tcW w:type="dxa" w:w="1800"/>
          </w:tcPr>
          <w:p>
            <w:r>
              <w:t xml:space="preserve">Revenue growth YoY</w:t>
            </w:r>
          </w:p>
        </w:tc>
        <w:tc>
          <w:tcPr>
            <w:tcW w:type="dxa" w:w="1800"/>
          </w:tcPr>
          <w:p>
            <w:r>
              <w:t xml:space="preserve">n/a</w:t>
            </w:r>
          </w:p>
        </w:tc>
        <w:tc>
          <w:tcPr>
            <w:tcW w:type="dxa" w:w="1800"/>
          </w:tcPr>
          <w:p>
            <w:r>
              <w:t xml:space="preserve">−7.8%</w:t>
            </w:r>
          </w:p>
        </w:tc>
        <w:tc>
          <w:tcPr>
            <w:tcW w:type="dxa" w:w="1800"/>
          </w:tcPr>
          <w:p>
            <w:r>
              <w:t xml:space="preserve">+64.1%</w:t>
            </w:r>
          </w:p>
        </w:tc>
        <w:tc>
          <w:tcPr>
            <w:tcW w:type="dxa" w:w="1800"/>
          </w:tcPr>
          <w:p>
            <w:r>
              <w:t xml:space="preserve">+32.5%</w:t>
            </w:r>
          </w:p>
        </w:tc>
        <w:tc>
          <w:tcPr>
            <w:tcW w:type="dxa" w:w="1800"/>
          </w:tcPr>
          <w:p>
            <w:r>
              <w:t xml:space="preserve">+15.2% (latest Q y/y)</w:t>
            </w:r>
          </w:p>
        </w:tc>
      </w:tr>
      <w:tr>
        <w:tc>
          <w:tcPr>
            <w:tcW w:type="dxa" w:w="1800"/>
          </w:tcPr>
          <w:p>
            <w:r>
              <w:t xml:space="preserve">Gross margin</w:t>
            </w:r>
          </w:p>
        </w:tc>
        <w:tc>
          <w:tcPr>
            <w:tcW w:type="dxa" w:w="1800"/>
          </w:tcPr>
          <w:p>
            <w:r>
              <w:t xml:space="preserve">1.3%</w:t>
            </w:r>
          </w:p>
        </w:tc>
        <w:tc>
          <w:tcPr>
            <w:tcW w:type="dxa" w:w="1800"/>
          </w:tcPr>
          <w:p>
            <w:r>
              <w:t xml:space="preserve">2.6%</w:t>
            </w:r>
          </w:p>
        </w:tc>
        <w:tc>
          <w:tcPr>
            <w:tcW w:type="dxa" w:w="1800"/>
          </w:tcPr>
          <w:p>
            <w:r>
              <w:t xml:space="preserve">2.1%</w:t>
            </w:r>
          </w:p>
        </w:tc>
        <w:tc>
          <w:tcPr>
            <w:tcW w:type="dxa" w:w="1800"/>
          </w:tcPr>
          <w:p>
            <w:r>
              <w:t xml:space="preserve">2.0%</w:t>
            </w:r>
          </w:p>
        </w:tc>
        <w:tc>
          <w:tcPr>
            <w:tcW w:type="dxa" w:w="1800"/>
          </w:tcPr>
          <w:p>
            <w:r>
              <w:t xml:space="preserve">2.2%</w:t>
            </w:r>
          </w:p>
        </w:tc>
      </w:tr>
      <w:tr>
        <w:tc>
          <w:tcPr>
            <w:tcW w:type="dxa" w:w="1800"/>
          </w:tcPr>
          <w:p>
            <w:r>
              <w:t xml:space="preserve">EBITDA margin</w:t>
            </w:r>
          </w:p>
        </w:tc>
        <w:tc>
          <w:tcPr>
            <w:tcW w:type="dxa" w:w="1800"/>
          </w:tcPr>
          <w:p>
            <w:r>
              <w:t xml:space="preserve">0.8%</w:t>
            </w:r>
          </w:p>
        </w:tc>
        <w:tc>
          <w:tcPr>
            <w:tcW w:type="dxa" w:w="1800"/>
          </w:tcPr>
          <w:p>
            <w:r>
              <w:t xml:space="preserve">2.1%</w:t>
            </w:r>
          </w:p>
        </w:tc>
        <w:tc>
          <w:tcPr>
            <w:tcW w:type="dxa" w:w="1800"/>
          </w:tcPr>
          <w:p>
            <w:r>
              <w:t xml:space="preserve">1.6%</w:t>
            </w:r>
          </w:p>
        </w:tc>
        <w:tc>
          <w:tcPr>
            <w:tcW w:type="dxa" w:w="1800"/>
          </w:tcPr>
          <w:p>
            <w:r>
              <w:t xml:space="preserve">1.5%</w:t>
            </w:r>
          </w:p>
        </w:tc>
        <w:tc>
          <w:tcPr>
            <w:tcW w:type="dxa" w:w="1800"/>
          </w:tcPr>
          <w:p>
            <w:r>
              <w:t xml:space="preserve">1.7%</w:t>
            </w:r>
          </w:p>
        </w:tc>
      </w:tr>
      <w:tr>
        <w:tc>
          <w:tcPr>
            <w:tcW w:type="dxa" w:w="1800"/>
          </w:tcPr>
          <w:p>
            <w:r>
              <w:t xml:space="preserve">Net margin</w:t>
            </w:r>
          </w:p>
        </w:tc>
        <w:tc>
          <w:tcPr>
            <w:tcW w:type="dxa" w:w="1800"/>
          </w:tcPr>
          <w:p>
            <w:r>
              <w:t xml:space="preserve">0.3%</w:t>
            </w:r>
          </w:p>
        </w:tc>
        <w:tc>
          <w:tcPr>
            <w:tcW w:type="dxa" w:w="1800"/>
          </w:tcPr>
          <w:p>
            <w:r>
              <w:t xml:space="preserve">0.4%</w:t>
            </w:r>
          </w:p>
        </w:tc>
        <w:tc>
          <w:tcPr>
            <w:tcW w:type="dxa" w:w="1800"/>
          </w:tcPr>
          <w:p>
            <w:r>
              <w:t xml:space="preserve">0.3%</w:t>
            </w:r>
          </w:p>
        </w:tc>
        <w:tc>
          <w:tcPr>
            <w:tcW w:type="dxa" w:w="1800"/>
          </w:tcPr>
          <w:p>
            <w:r>
              <w:t xml:space="preserve">0.2%</w:t>
            </w:r>
          </w:p>
        </w:tc>
        <w:tc>
          <w:tcPr>
            <w:tcW w:type="dxa" w:w="1800"/>
          </w:tcPr>
          <w:p>
            <w:r>
              <w:t xml:space="preserve">0.3%</w:t>
            </w:r>
          </w:p>
        </w:tc>
      </w:tr>
      <w:tr>
        <w:tc>
          <w:tcPr>
            <w:tcW w:type="dxa" w:w="1800"/>
          </w:tcPr>
          <w:p>
            <w:r>
              <w:t xml:space="preserve">ROE</w:t>
            </w:r>
          </w:p>
        </w:tc>
        <w:tc>
          <w:tcPr>
            <w:tcW w:type="dxa" w:w="1800"/>
          </w:tcPr>
          <w:p>
            <w:r>
              <w:t xml:space="preserve">19.4%</w:t>
            </w:r>
          </w:p>
        </w:tc>
        <w:tc>
          <w:tcPr>
            <w:tcW w:type="dxa" w:w="1800"/>
          </w:tcPr>
          <w:p>
            <w:r>
              <w:t xml:space="preserve">19.5%</w:t>
            </w:r>
          </w:p>
        </w:tc>
        <w:tc>
          <w:tcPr>
            <w:tcW w:type="dxa" w:w="1800"/>
          </w:tcPr>
          <w:p>
            <w:r>
              <w:t xml:space="preserve">16.9%</w:t>
            </w:r>
          </w:p>
        </w:tc>
        <w:tc>
          <w:tcPr>
            <w:tcW w:type="dxa" w:w="1800"/>
          </w:tcPr>
          <w:p>
            <w:r>
              <w:t xml:space="preserve">15.0%</w:t>
            </w:r>
          </w:p>
        </w:tc>
        <w:tc>
          <w:tcPr>
            <w:tcW w:type="dxa" w:w="1800"/>
          </w:tcPr>
          <w:p>
            <w:r>
              <w:t xml:space="preserve">18.5%</w:t>
            </w:r>
          </w:p>
        </w:tc>
      </w:tr>
      <w:tr>
        <w:tc>
          <w:tcPr>
            <w:tcW w:type="dxa" w:w="1800"/>
          </w:tcPr>
          <w:p>
            <w:r>
              <w:t xml:space="preserve">P/E</w:t>
            </w:r>
          </w:p>
        </w:tc>
        <w:tc>
          <w:tcPr>
            <w:tcW w:type="dxa" w:w="1800"/>
          </w:tcPr>
          <w:p>
            <w:r>
              <w:t xml:space="preserve">8.1×</w:t>
            </w:r>
          </w:p>
        </w:tc>
        <w:tc>
          <w:tcPr>
            <w:tcW w:type="dxa" w:w="1800"/>
          </w:tcPr>
          <w:p>
            <w:r>
              <w:t xml:space="preserve">8.5×</w:t>
            </w:r>
          </w:p>
        </w:tc>
        <w:tc>
          <w:tcPr>
            <w:tcW w:type="dxa" w:w="1800"/>
          </w:tcPr>
          <w:p>
            <w:r>
              <w:t xml:space="preserve">10.0×</w:t>
            </w:r>
          </w:p>
        </w:tc>
        <w:tc>
          <w:tcPr>
            <w:tcW w:type="dxa" w:w="1800"/>
          </w:tcPr>
          <w:p>
            <w:r>
              <w:t xml:space="preserve">17.2×</w:t>
            </w:r>
          </w:p>
        </w:tc>
        <w:tc>
          <w:tcPr>
            <w:tcW w:type="dxa" w:w="1800"/>
          </w:tcPr>
          <w:p>
            <w:r>
              <w:t xml:space="preserve">15.9×</w:t>
            </w:r>
          </w:p>
        </w:tc>
      </w:tr>
      <w:tr>
        <w:tc>
          <w:tcPr>
            <w:tcW w:type="dxa" w:w="1800"/>
          </w:tcPr>
          <w:p>
            <w:r>
              <w:t xml:space="preserve">P/S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</w:tr>
      <w:tr>
        <w:tc>
          <w:tcPr>
            <w:tcW w:type="dxa" w:w="1800"/>
          </w:tcPr>
          <w:p>
            <w:r>
              <w:t xml:space="preserve">P/B</w:t>
            </w:r>
          </w:p>
        </w:tc>
        <w:tc>
          <w:tcPr>
            <w:tcW w:type="dxa" w:w="1800"/>
          </w:tcPr>
          <w:p>
            <w:r>
              <w:t xml:space="preserve">1.6×</w:t>
            </w:r>
          </w:p>
        </w:tc>
        <w:tc>
          <w:tcPr>
            <w:tcW w:type="dxa" w:w="1800"/>
          </w:tcPr>
          <w:p>
            <w:r>
              <w:t xml:space="preserve">1.5×</w:t>
            </w:r>
          </w:p>
        </w:tc>
        <w:tc>
          <w:tcPr>
            <w:tcW w:type="dxa" w:w="1800"/>
          </w:tcPr>
          <w:p>
            <w:r>
              <w:t xml:space="preserve">1.5×</w:t>
            </w:r>
          </w:p>
        </w:tc>
        <w:tc>
          <w:tcPr>
            <w:tcW w:type="dxa" w:w="1800"/>
          </w:tcPr>
          <w:p>
            <w:r>
              <w:t xml:space="preserve">2.2×</w:t>
            </w:r>
          </w:p>
        </w:tc>
        <w:tc>
          <w:tcPr>
            <w:tcW w:type="dxa" w:w="1800"/>
          </w:tcPr>
          <w:p>
            <w:r>
              <w:t xml:space="preserve">2.9×</w:t>
            </w:r>
          </w:p>
        </w:tc>
      </w:tr>
      <w:tr>
        <w:tc>
          <w:tcPr>
            <w:tcW w:type="dxa" w:w="1800"/>
          </w:tcPr>
          <w:p>
            <w:r>
              <w:t xml:space="preserve">EV/Revenue</w:t>
            </w:r>
          </w:p>
        </w:tc>
        <w:tc>
          <w:tcPr>
            <w:tcW w:type="dxa" w:w="1800"/>
          </w:tcPr>
          <w:p>
            <w:r>
              <w:t xml:space="preserve">n/m (FCM)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</w:tr>
      <w:tr>
        <w:tc>
          <w:tcPr>
            <w:tcW w:type="dxa" w:w="1800"/>
          </w:tcPr>
          <w:p>
            <w:r>
              <w:t xml:space="preserve">EV/EBITDA</w:t>
            </w:r>
          </w:p>
        </w:tc>
        <w:tc>
          <w:tcPr>
            <w:tcW w:type="dxa" w:w="1800"/>
          </w:tcPr>
          <w:p>
            <w:r>
              <w:t xml:space="preserve">n/m (FCM)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</w:tr>
      <w:tr>
        <w:tc>
          <w:tcPr>
            <w:tcW w:type="dxa" w:w="1800"/>
          </w:tcPr>
          <w:p>
            <w:r>
              <w:t xml:space="preserve">Debt/Equity</w:t>
            </w:r>
          </w:p>
        </w:tc>
        <w:tc>
          <w:tcPr>
            <w:tcW w:type="dxa" w:w="1800"/>
          </w:tcPr>
          <w:p>
            <w:r>
              <w:t xml:space="preserve">5.0</w:t>
            </w:r>
          </w:p>
        </w:tc>
        <w:tc>
          <w:tcPr>
            <w:tcW w:type="dxa" w:w="1800"/>
          </w:tcPr>
          <w:p>
            <w:r>
              <w:t xml:space="preserve">4.7</w:t>
            </w:r>
          </w:p>
        </w:tc>
        <w:tc>
          <w:tcPr>
            <w:tcW w:type="dxa" w:w="1800"/>
          </w:tcPr>
          <w:p>
            <w:r>
              <w:t xml:space="preserve">6.6</w:t>
            </w:r>
          </w:p>
        </w:tc>
        <w:tc>
          <w:tcPr>
            <w:tcW w:type="dxa" w:w="1800"/>
          </w:tcPr>
          <w:p>
            <w:r>
              <w:t xml:space="preserve">7.8</w:t>
            </w:r>
          </w:p>
        </w:tc>
        <w:tc>
          <w:tcPr>
            <w:tcW w:type="dxa" w:w="1800"/>
          </w:tcPr>
          <w:p>
            <w:r>
              <w:t xml:space="preserve">8.2</w:t>
            </w:r>
          </w:p>
        </w:tc>
      </w:tr>
      <w:tr>
        <w:tc>
          <w:tcPr>
            <w:tcW w:type="dxa" w:w="1800"/>
          </w:tcPr>
          <w:p>
            <w:r>
              <w:t xml:space="preserve">Net cash / (net debt)</w:t>
            </w:r>
          </w:p>
        </w:tc>
        <w:tc>
          <w:tcPr>
            <w:tcW w:type="dxa" w:w="1800"/>
          </w:tcPr>
          <w:p>
            <w:r>
              <w:t xml:space="preserve">n/m (client funds)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</w:tr>
      <w:tr>
        <w:tc>
          <w:tcPr>
            <w:tcW w:type="dxa" w:w="1800"/>
          </w:tcPr>
          <w:p>
            <w:r>
              <w:t xml:space="preserve">FCF margin</w:t>
            </w:r>
          </w:p>
        </w:tc>
        <w:tc>
          <w:tcPr>
            <w:tcW w:type="dxa" w:w="1800"/>
          </w:tcPr>
          <w:p>
            <w:r>
              <w:t xml:space="preserve">n/m (client funds)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  <w:tc>
          <w:tcPr>
            <w:tcW w:type="dxa" w:w="1800"/>
          </w:tcPr>
          <w:p>
            <w:r>
              <w:t xml:space="preserve">n/m</w:t>
            </w:r>
          </w:p>
        </w:tc>
      </w:tr>
      <w:tr>
        <w:tc>
          <w:tcPr>
            <w:tcW w:type="dxa" w:w="1800"/>
          </w:tcPr>
          <w:p>
            <w:r>
              <w:t xml:space="preserve">Shares (split-adj.)</w:t>
            </w:r>
          </w:p>
        </w:tc>
        <w:tc>
          <w:tcPr>
            <w:tcW w:type="dxa" w:w="1800"/>
          </w:tcPr>
          <w:p>
            <w:r>
              <w:t xml:space="preserve">102.8M</w:t>
            </w:r>
          </w:p>
        </w:tc>
        <w:tc>
          <w:tcPr>
            <w:tcW w:type="dxa" w:w="1800"/>
          </w:tcPr>
          <w:p>
            <w:r>
              <w:t xml:space="preserve">105.3M</w:t>
            </w:r>
          </w:p>
        </w:tc>
        <w:tc>
          <w:tcPr>
            <w:tcW w:type="dxa" w:w="1800"/>
          </w:tcPr>
          <w:p>
            <w:r>
              <w:t xml:space="preserve">107.6M</w:t>
            </w:r>
          </w:p>
        </w:tc>
        <w:tc>
          <w:tcPr>
            <w:tcW w:type="dxa" w:w="1800"/>
          </w:tcPr>
          <w:p>
            <w:r>
              <w:t xml:space="preserve">117.4M</w:t>
            </w:r>
          </w:p>
        </w:tc>
        <w:tc>
          <w:tcPr>
            <w:tcW w:type="dxa" w:w="1800"/>
          </w:tcPr>
          <w:p>
            <w:r>
              <w:t xml:space="preserve">120.6M</w:t>
            </w:r>
          </w:p>
        </w:tc>
      </w:tr>
    </w:tbl>
    <w:p>
      <w:pPr>
        <w:pStyle w:val="Heading3"/>
        <w:spacing w:after="100" w:before="200"/>
      </w:pPr>
      <w:r>
        <w:t xml:space="preserve">Sector-Specific Ratio Table (FCM)</w:t>
      </w:r>
    </w:p>
    <w:p>
      <w:r>
        <w:t xml:space="preserve">Segment-level history for FY22–FY24 was not retrieved from sources, so the table uses the disclosed FQ3 and 9M comparisons.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 w:val="clear"/>
          </w:tcPr>
          <w:p>
            <w:r>
              <w:t xml:space="preserve">Metric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FQ3-25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FQ3-26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9M FY25</w:t>
            </w:r>
          </w:p>
        </w:tc>
        <w:tc>
          <w:tcPr>
            <w:tcW w:type="dxa" w:w="2160"/>
            <w:shd w:fill="D9D9D9" w:val="clear"/>
          </w:tcPr>
          <w:p>
            <w:r>
              <w:t xml:space="preserve">9M FY26</w:t>
            </w:r>
          </w:p>
        </w:tc>
      </w:tr>
      <w:tr>
        <w:tc>
          <w:tcPr>
            <w:tcW w:type="dxa" w:w="2160"/>
          </w:tcPr>
          <w:p>
            <w:r>
              <w:t xml:space="preserve">Net operating revenues</w:t>
            </w:r>
          </w:p>
        </w:tc>
        <w:tc>
          <w:tcPr>
            <w:tcW w:type="dxa" w:w="2160"/>
          </w:tcPr>
          <w:p>
            <w:r>
              <w:t xml:space="preserve">$488.3M</w:t>
            </w:r>
          </w:p>
        </w:tc>
        <w:tc>
          <w:tcPr>
            <w:tcW w:type="dxa" w:w="2160"/>
          </w:tcPr>
          <w:p>
            <w:r>
              <w:t xml:space="preserve">$719.7M</w:t>
            </w:r>
          </w:p>
        </w:tc>
        <w:tc>
          <w:tcPr>
            <w:tcW w:type="dxa" w:w="2160"/>
          </w:tcPr>
          <w:p>
            <w:r>
              <w:t xml:space="preserve">$1,467.7M</w:t>
            </w:r>
          </w:p>
        </w:tc>
        <w:tc>
          <w:tcPr>
            <w:tcW w:type="dxa" w:w="2160"/>
          </w:tcPr>
          <w:p>
            <w:r>
              <w:t xml:space="preserve">$2,273.2M</w:t>
            </w:r>
          </w:p>
        </w:tc>
      </w:tr>
      <w:tr>
        <w:tc>
          <w:tcPr>
            <w:tcW w:type="dxa" w:w="2160"/>
          </w:tcPr>
          <w:p>
            <w:r>
              <w:t xml:space="preserve">Net income</w:t>
            </w:r>
          </w:p>
        </w:tc>
        <w:tc>
          <w:tcPr>
            <w:tcW w:type="dxa" w:w="2160"/>
          </w:tcPr>
          <w:p>
            <w:r>
              <w:t xml:space="preserve">$63.4M</w:t>
            </w:r>
          </w:p>
        </w:tc>
        <w:tc>
          <w:tcPr>
            <w:tcW w:type="dxa" w:w="2160"/>
          </w:tcPr>
          <w:p>
            <w:r>
              <w:t xml:space="preserve">$127.9M</w:t>
            </w:r>
          </w:p>
        </w:tc>
        <w:tc>
          <w:tcPr>
            <w:tcW w:type="dxa" w:w="2160"/>
          </w:tcPr>
          <w:p>
            <w:r>
              <w:t xml:space="preserve">$220.2M</w:t>
            </w:r>
          </w:p>
        </w:tc>
        <w:tc>
          <w:tcPr>
            <w:tcW w:type="dxa" w:w="2160"/>
          </w:tcPr>
          <w:p>
            <w:r>
              <w:t xml:space="preserve">$441.2M</w:t>
            </w:r>
          </w:p>
        </w:tc>
      </w:tr>
      <w:tr>
        <w:tc>
          <w:tcPr>
            <w:tcW w:type="dxa" w:w="2160"/>
          </w:tcPr>
          <w:p>
            <w:r>
              <w:t xml:space="preserve">ROE</w:t>
            </w:r>
          </w:p>
        </w:tc>
        <w:tc>
          <w:tcPr>
            <w:tcW w:type="dxa" w:w="2160"/>
          </w:tcPr>
          <w:p>
            <w:r>
              <w:t xml:space="preserve">13.1%</w:t>
            </w:r>
          </w:p>
        </w:tc>
        <w:tc>
          <w:tcPr>
            <w:tcW w:type="dxa" w:w="2160"/>
          </w:tcPr>
          <w:p>
            <w:r>
              <w:t xml:space="preserve">18.4%</w:t>
            </w:r>
          </w:p>
        </w:tc>
        <w:tc>
          <w:tcPr>
            <w:tcW w:type="dxa" w:w="2160"/>
          </w:tcPr>
          <w:p>
            <w:r>
              <w:t xml:space="preserve">15.9%</w:t>
            </w:r>
          </w:p>
        </w:tc>
        <w:tc>
          <w:tcPr>
            <w:tcW w:type="dxa" w:w="2160"/>
          </w:tcPr>
          <w:p>
            <w:r>
              <w:t xml:space="preserve">22.3%</w:t>
            </w:r>
          </w:p>
        </w:tc>
      </w:tr>
      <w:tr>
        <w:tc>
          <w:tcPr>
            <w:tcW w:type="dxa" w:w="2160"/>
          </w:tcPr>
          <w:p>
            <w:r>
              <w:t xml:space="preserve">ROTE</w:t>
            </w:r>
          </w:p>
        </w:tc>
        <w:tc>
          <w:tcPr>
            <w:tcW w:type="dxa" w:w="2160"/>
          </w:tcPr>
          <w:p>
            <w:r>
              <w:t xml:space="preserve">13.8%</w:t>
            </w:r>
          </w:p>
        </w:tc>
        <w:tc>
          <w:tcPr>
            <w:tcW w:type="dxa" w:w="2160"/>
          </w:tcPr>
          <w:p>
            <w:r>
              <w:t xml:space="preserve">25.0%</w:t>
            </w:r>
          </w:p>
        </w:tc>
        <w:tc>
          <w:tcPr>
            <w:tcW w:type="dxa" w:w="2160"/>
          </w:tcPr>
          <w:p>
            <w:r>
              <w:t xml:space="preserve">16.7%</w:t>
            </w:r>
          </w:p>
        </w:tc>
        <w:tc>
          <w:tcPr>
            <w:tcW w:type="dxa" w:w="2160"/>
          </w:tcPr>
          <w:p>
            <w:r>
              <w:t xml:space="preserve">31.2%</w:t>
            </w:r>
          </w:p>
        </w:tc>
      </w:tr>
      <w:tr>
        <w:tc>
          <w:tcPr>
            <w:tcW w:type="dxa" w:w="2160"/>
          </w:tcPr>
          <w:p>
            <w:r>
              <w:t xml:space="preserve">Interest/fees on client balances</w:t>
            </w:r>
          </w:p>
        </w:tc>
        <w:tc>
          <w:tcPr>
            <w:tcW w:type="dxa" w:w="2160"/>
          </w:tcPr>
          <w:p>
            <w:r>
              <w:t xml:space="preserve">$102.9M</w:t>
            </w:r>
          </w:p>
        </w:tc>
        <w:tc>
          <w:tcPr>
            <w:tcW w:type="dxa" w:w="2160"/>
          </w:tcPr>
          <w:p>
            <w:r>
              <w:t xml:space="preserve">$169.0M</w:t>
            </w:r>
          </w:p>
        </w:tc>
        <w:tc>
          <w:tcPr>
            <w:tcW w:type="dxa" w:w="2160"/>
          </w:tcPr>
          <w:p>
            <w:r>
              <w:t xml:space="preserve">$312.2M</w:t>
            </w:r>
          </w:p>
        </w:tc>
        <w:tc>
          <w:tcPr>
            <w:tcW w:type="dxa" w:w="2160"/>
          </w:tcPr>
          <w:p>
            <w:r>
              <w:t xml:space="preserve">$499.2M</w:t>
            </w:r>
          </w:p>
        </w:tc>
      </w:tr>
      <w:tr>
        <w:tc>
          <w:tcPr>
            <w:tcW w:type="dxa" w:w="2160"/>
          </w:tcPr>
          <w:p>
            <w:r>
              <w:t xml:space="preserve">Avg client equity (listed)</w:t>
            </w:r>
          </w:p>
        </w:tc>
        <w:tc>
          <w:tcPr>
            <w:tcW w:type="dxa" w:w="2160"/>
          </w:tcPr>
          <w:p>
            <w:r>
              <w:t xml:space="preserve">$6,558M</w:t>
            </w:r>
          </w:p>
        </w:tc>
        <w:tc>
          <w:tcPr>
            <w:tcW w:type="dxa" w:w="2160"/>
          </w:tcPr>
          <w:p>
            <w:r>
              <w:t xml:space="preserve">$15,007M</w:t>
            </w:r>
          </w:p>
        </w:tc>
        <w:tc>
          <w:tcPr>
            <w:tcW w:type="dxa" w:w="2160"/>
          </w:tcPr>
          <w:p>
            <w:r>
              <w:t xml:space="preserve">$6,606M</w:t>
            </w:r>
          </w:p>
        </w:tc>
        <w:tc>
          <w:tcPr>
            <w:tcW w:type="dxa" w:w="2160"/>
          </w:tcPr>
          <w:p>
            <w:r>
              <w:t xml:space="preserve">$14,069M</w:t>
            </w:r>
          </w:p>
        </w:tc>
      </w:tr>
      <w:tr>
        <w:tc>
          <w:tcPr>
            <w:tcW w:type="dxa" w:w="2160"/>
          </w:tcPr>
          <w:p>
            <w:r>
              <w:t xml:space="preserve">Listed-derivatives contracts</w:t>
            </w:r>
          </w:p>
        </w:tc>
        <w:tc>
          <w:tcPr>
            <w:tcW w:type="dxa" w:w="2160"/>
          </w:tcPr>
          <w:p>
            <w:r>
              <w:t xml:space="preserve">56.8M</w:t>
            </w:r>
          </w:p>
        </w:tc>
        <w:tc>
          <w:tcPr>
            <w:tcW w:type="dxa" w:w="2160"/>
          </w:tcPr>
          <w:p>
            <w:r>
              <w:t xml:space="preserve">97.9M</w:t>
            </w:r>
          </w:p>
        </w:tc>
        <w:tc>
          <w:tcPr>
            <w:tcW w:type="dxa" w:w="2160"/>
          </w:tcPr>
          <w:p>
            <w:r>
              <w:t xml:space="preserve">171.1M</w:t>
            </w:r>
          </w:p>
        </w:tc>
        <w:tc>
          <w:tcPr>
            <w:tcW w:type="dxa" w:w="2160"/>
          </w:tcPr>
          <w:p>
            <w:r>
              <w:t xml:space="preserve">279.2M</w:t>
            </w:r>
          </w:p>
        </w:tc>
      </w:tr>
      <w:tr>
        <w:tc>
          <w:tcPr>
            <w:tcW w:type="dxa" w:w="2160"/>
          </w:tcPr>
          <w:p>
            <w:r>
              <w:t xml:space="preserve">Variable comp % non-interest exp.</w:t>
            </w:r>
          </w:p>
        </w:tc>
        <w:tc>
          <w:tcPr>
            <w:tcW w:type="dxa" w:w="2160"/>
          </w:tcPr>
          <w:p>
            <w:r>
              <w:t xml:space="preserve">26%</w:t>
            </w:r>
          </w:p>
        </w:tc>
        <w:tc>
          <w:tcPr>
            <w:tcW w:type="dxa" w:w="2160"/>
          </w:tcPr>
          <w:p>
            <w:r>
              <w:t xml:space="preserve">30%</w:t>
            </w:r>
          </w:p>
        </w:tc>
        <w:tc>
          <w:tcPr>
            <w:tcW w:type="dxa" w:w="2160"/>
          </w:tcPr>
          <w:p>
            <w:r>
              <w:t xml:space="preserve">27%</w:t>
            </w:r>
          </w:p>
        </w:tc>
        <w:tc>
          <w:tcPr>
            <w:tcW w:type="dxa" w:w="2160"/>
          </w:tcPr>
          <w:p>
            <w:r>
              <w:t xml:space="preserve">29%</w:t>
            </w:r>
          </w:p>
        </w:tc>
      </w:tr>
    </w:tbl>
    <w:p>
      <w:pPr>
        <w:pStyle w:val="Heading3"/>
        <w:spacing w:after="100" w:before="200"/>
      </w:pPr>
      <w:r>
        <w:t xml:space="preserve">Interpretation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P/E 8× → 16–17× while ROE is flat to down (19.4% → 15.0% → 18.5%)</w:t>
      </w:r>
      <w:r>
        <w:t xml:space="preserve"> is a multiple re-rating, not an earnings-quality improvement. This is the tension the Mauboussin section quantifies: the price already assumes FY26's step-up is partly durable. The implied terminal ROE of ~13% says the market is not assuming all of it is.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P/B 1.5× → 2.9×</w:t>
      </w:r>
      <w:r>
        <w:t xml:space="preserve"> confirms the value factor has largely been harvested (Ilmanen). The remaining value case rests on ROTE staying around 25%, not on cheapness.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Share count +17% since FY22</w:t>
      </w:r>
      <w:r>
        <w:t xml:space="preserve"> is the hard number behind the Fisher #13 fail and the Compounder self-funding fail. At ≈2%/yr organic plus deal stock, per-share value creation lags headline net-income growth by 3–4pp a year.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The FQ3 vs 9M comparison shows the rate/volatility tailwind peaking.</w:t>
      </w:r>
      <w:r>
        <w:t xml:space="preserve"> 9M ROTE is 31.2% against 25.0% for the latest quarter. Earnings momentum is decelerating from a very high level.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>
        <w:tc>
          <w:tcPr>
            <w:tcW w:type="dxa" w:w="981"/>
            <w:shd w:fill="D9D9D9" w:val="clear"/>
          </w:tcPr>
          <w:p>
            <w:r>
              <w:t xml:space="preserve">TICKER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Track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Category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F-Score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F-Rating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DCF Bear-Base-Bull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MoS Gate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Compounder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AI Impact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Horizon</w:t>
            </w:r>
          </w:p>
        </w:tc>
        <w:tc>
          <w:tcPr>
            <w:tcW w:type="dxa" w:w="981"/>
            <w:shd w:fill="D9D9D9" w:val="clear"/>
          </w:tcPr>
          <w:p>
            <w:r>
              <w:t xml:space="preserve">Thesis Invalidation</w:t>
            </w:r>
          </w:p>
        </w:tc>
      </w:tr>
      <w:tr>
        <w:tc>
          <w:tcPr>
            <w:tcW w:type="dxa" w:w="981"/>
          </w:tcPr>
          <w:p>
            <w:r>
              <w:t xml:space="preserve">SNEX</w:t>
            </w:r>
          </w:p>
        </w:tc>
        <w:tc>
          <w:tcPr>
            <w:tcW w:type="dxa" w:w="981"/>
          </w:tcPr>
          <w:p>
            <w:r>
              <w:t xml:space="preserve">A-FT</w:t>
            </w:r>
          </w:p>
        </w:tc>
        <w:tc>
          <w:tcPr>
            <w:tcW w:type="dxa" w:w="981"/>
          </w:tcPr>
          <w:p>
            <w:r>
              <w:t xml:space="preserve">FastGrower (rate/vol-cyclical component)</w:t>
            </w:r>
          </w:p>
        </w:tc>
        <w:tc>
          <w:tcPr>
            <w:tcW w:type="dxa" w:w="981"/>
          </w:tcPr>
          <w:p>
            <w:r>
              <w:t xml:space="preserve">63</w:t>
            </w:r>
          </w:p>
        </w:tc>
        <w:tc>
          <w:tcPr>
            <w:tcW w:type="dxa" w:w="981"/>
          </w:tcPr>
          <w:p>
            <w:r>
              <w:t xml:space="preserve">Undervalued</w:t>
            </w:r>
          </w:p>
        </w:tc>
        <w:tc>
          <w:tcPr>
            <w:tcW w:type="dxa" w:w="981"/>
          </w:tcPr>
          <w:p>
            <w:r>
              <w:t xml:space="preserve">$39.5 / $80.0 / $113.8 (€34.7 / €70.2 / €99.9), excess-return model at Re 9.5%</w:t>
            </w:r>
          </w:p>
        </w:tc>
        <w:tc>
          <w:tcPr>
            <w:tcW w:type="dxa" w:w="981"/>
          </w:tcPr>
          <w:p>
            <w:r>
              <w:t xml:space="preserve">BASE (NONE at Re 10.5%)</w:t>
            </w:r>
          </w:p>
        </w:tc>
        <w:tc>
          <w:tcPr>
            <w:tcW w:type="dxa" w:w="981"/>
          </w:tcPr>
          <w:p>
            <w:r>
              <w:t xml:space="preserve">QUALITY</w:t>
            </w:r>
          </w:p>
        </w:tc>
        <w:tc>
          <w:tcPr>
            <w:tcW w:type="dxa" w:w="981"/>
          </w:tcPr>
          <w:p>
            <w:r>
              <w:t xml:space="preserve">NEUTRAL</w:t>
            </w:r>
          </w:p>
        </w:tc>
        <w:tc>
          <w:tcPr>
            <w:tcW w:type="dxa" w:w="981"/>
          </w:tcPr>
          <w:p>
            <w:r>
              <w:t xml:space="preserve">3–5yr</w:t>
            </w:r>
          </w:p>
        </w:tc>
        <w:tc>
          <w:tcPr>
            <w:tcW w:type="dxa" w:w="981"/>
          </w:tcPr>
          <w:p>
            <w:r>
              <w:t xml:space="preserve">TTM ROE &lt; 13% for 2 consecutive quarters, OR average client equity down &gt; 20% y/y (RJO attrition), OR synergies &lt; $45M at FYE26</w:t>
            </w:r>
          </w:p>
        </w:tc>
      </w:tr>
    </w:tbl>
    <w:p>
      <w:r>
        <w:rPr>
          <w:b/>
          <w:bCs/>
        </w:rPr>
        <w:t xml:space="preserve">What has to be true:</w:t>
      </w:r>
    </w:p>
    <w:p>
      <w:pPr>
        <w:pStyle w:val="ListParagraph"/>
        <w:numPr>
          <w:ilvl w:val="0"/>
          <w:numId w:val="1"/>
        </w:numPr>
      </w:pPr>
      <w:r>
        <w:t xml:space="preserve">StoneX keeps a mid-to-high-teens ROE as rate income normalises. RJO's client base and cross-sell must replace what lower rates and calmer commodity markets take away.</w:t>
      </w:r>
    </w:p>
    <w:p>
      <w:pPr>
        <w:pStyle w:val="ListParagraph"/>
        <w:numPr>
          <w:ilvl w:val="0"/>
          <w:numId w:val="1"/>
        </w:numPr>
      </w:pPr>
      <w:r>
        <w:t xml:space="preserve">Today's macro regime makes that easier, not harder: hawkish Fed, 5%+ yields and commodity volatility are all earnings tailwinds.</w:t>
      </w:r>
    </w:p>
    <w:p>
      <w:r>
        <w:rPr>
          <w:b/>
          <w:bCs/>
        </w:rPr>
        <w:t xml:space="preserve">What would most change the verdict:</w:t>
      </w:r>
    </w:p>
    <w:p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b/>
          <w:bCs/>
        </w:rPr>
        <w:t xml:space="preserve">Fed pivot</w:t>
      </w:r>
      <w:r>
        <w:t xml:space="preserve">. A 200bp cut cycle removes ~$0.76/share, ≈18% of TTM EPS, and moves the value toward the Bear case.</w:t>
      </w:r>
    </w:p>
    <w:p>
      <w:pPr>
        <w:pStyle w:val="ListParagraph"/>
        <w:numPr>
          <w:ilvl w:val="0"/>
          <w:numId w:val="1"/>
        </w:numPr>
      </w:pPr>
      <w:r>
        <w:t xml:space="preserve">Conversely, a pullback into the mid-$50s (≈Base value at Re 10.5%) would clear the gate even under the stricter discount 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2026-09-25T09:08:37.393Z</dcterms:created>
  <dcterms:modified xsi:type="dcterms:W3CDTF">2026-09-25T09:08:37.394Z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