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STRL — Sterling Infrastructure, Inc. — Long-Term Deep-Dive</w:t>
      </w:r>
    </w:p>
    <w:p>
      <w:r>
        <w:t xml:space="preserve">Date: 2026-09-25 | Price: $513.72 / €451.03 (close Sept 24, 2026; EUR/USD 1.139) | Shares out: ~30.6M | Market cap: ~$15.7B / €13.8B | Cash $464.5M / debt $283.9M (Jun 30, 2026) → net cash ~$181M | Next earnings: Q3-26, ~Nov 2, 2026</w:t>
      </w:r>
    </w:p>
    <w:p>
      <w:r>
        <w:t xml:space="preserve">[FUNDAMENTAL DATA MISSING — STRL is not in ./data/fundamental_data.json. Figures come from Sterling's Q2-26 8-K (Aug 3, 2026), the Q2 slides, the Stone Ridge and CEC acquisition filings and yfinance, each dated where used.]</w:t>
      </w:r>
    </w:p>
    <w:p>
      <w:r>
        <w:rPr>
          <w:b/>
          <w:bCs/>
        </w:rPr>
        <w:t xml:space="preserve">Macro backdrop</w:t>
      </w:r>
      <w:r>
        <w:t xml:space="preserve"> (from macro_report_2026-09-24):</w:t>
      </w:r>
    </w:p>
    <w:p>
      <w:pPr>
        <w:pStyle w:val="ListParagraph"/>
        <w:numPr>
          <w:ilvl w:val="0"/>
          <w:numId w:val="1"/>
        </w:numPr>
      </w:pPr>
      <w:r>
        <w:t xml:space="preserve">REFLATION, HIGH confidence. 10Y 5.14%, the highest since 2007.</w:t>
      </w:r>
    </w:p>
    <w:p>
      <w:pPr>
        <w:pStyle w:val="ListParagraph"/>
        <w:numPr>
          <w:ilvl w:val="0"/>
          <w:numId w:val="1"/>
        </w:numPr>
      </w:pPr>
      <w:r>
        <w:t xml:space="preserve">AI infrastructure is at </w:t>
      </w:r>
      <w:r>
        <w:rPr>
          <w:b/>
          <w:bCs/>
        </w:rPr>
        <w:t xml:space="preserve">Kindleberger Stage 3 (Euphoria)</w:t>
      </w:r>
      <w:r>
        <w:t xml:space="preserve">. Minsky 7/7. Late cycle, with the CYCLE OVERRIDE active.</w:t>
      </w:r>
    </w:p>
    <w:p>
      <w:pPr>
        <w:pStyle w:val="ListParagraph"/>
        <w:numPr>
          <w:ilvl w:val="0"/>
          <w:numId w:val="1"/>
        </w:numPr>
      </w:pPr>
      <w:r>
        <w:t xml:space="preserve">Industrials (XLI) are below both moving averages and on the session's authorised short list.</w:t>
      </w:r>
    </w:p>
    <w:p>
      <w:pPr>
        <w:pStyle w:val="ListParagraph"/>
        <w:numPr>
          <w:ilvl w:val="0"/>
          <w:numId w:val="1"/>
        </w:numPr>
      </w:pPr>
      <w:r>
        <w:t xml:space="preserve">STRL's data-centre concentration puts it squarely inside the Stage-3 trade, with a long-duration valuation exposed to 5%+ rates.</w:t>
      </w:r>
    </w:p>
    <w:p>
      <w:r>
        <w:rPr>
          <w:b/>
          <w:bCs/>
        </w:rPr>
        <w:t xml:space="preserve">Bottom line up front: WATCH. The business is COMPOUNDER-grade (8/9); MoS Gate NONE (price above the Bull case).</w:t>
      </w:r>
    </w:p>
    <w:p>
      <w:pPr>
        <w:pStyle w:val="ListParagraph"/>
        <w:numPr>
          <w:ilvl w:val="0"/>
          <w:numId w:val="1"/>
        </w:numPr>
      </w:pPr>
      <w:r>
        <w:t xml:space="preserve">STRL is an outstanding operator:</w:t>
      </w:r>
    </w:p>
    <w:p>
      <w:r>
        <w:t xml:space="preserve">  - ROIC 13.5% → 22.4% over FY22–FY25.</w:t>
      </w:r>
    </w:p>
    <w:p>
      <w:r>
        <w:t xml:space="preserve">  - Adj. EBITDA margin 22%. FCF conversion &gt;100%. Net cash. Flat share count.</w:t>
      </w:r>
    </w:p>
    <w:p>
      <w:r>
        <w:t xml:space="preserve">  - Signed backlog $4.33B (+116%).</w:t>
      </w:r>
    </w:p>
    <w:p>
      <w:pPr>
        <w:pStyle w:val="ListParagraph"/>
        <w:numPr>
          <w:ilvl w:val="0"/>
          <w:numId w:val="1"/>
        </w:numPr>
      </w:pPr>
      <w:r>
        <w:t xml:space="preserve">But even after a </w:t>
      </w:r>
      <w:r>
        <w:rPr>
          <w:b/>
          <w:bCs/>
        </w:rPr>
        <w:t xml:space="preserve">49% drawdown from $1,005.68</w:t>
      </w:r>
      <w:r>
        <w:t xml:space="preserve">, $513.72 sits above the Bull DCF ($394.09 / €345.99). Base is $273.11 / €239.78; Bear is $146.80 / €128.89.</w:t>
      </w:r>
    </w:p>
    <w:p>
      <w:pPr>
        <w:pStyle w:val="ListParagraph"/>
        <w:numPr>
          <w:ilvl w:val="0"/>
          <w:numId w:val="1"/>
        </w:numPr>
      </w:pPr>
      <w:r>
        <w:t xml:space="preserve">The price needs ~25% annual revenue growth for five years ($4.1B → $12.5B) at a 10.5% WACC. That is about 1.7–2× the base rate for companies at this growth level.</w:t>
      </w:r>
    </w:p>
    <w:p>
      <w:pPr>
        <w:pStyle w:val="ListParagraph"/>
        <w:numPr>
          <w:ilvl w:val="0"/>
          <w:numId w:val="1"/>
        </w:numPr>
      </w:pPr>
      <w:r>
        <w:t xml:space="preserve">~77% of Q2 revenue now comes from one end-market (E-Infrastructure: data centres, fabs, advanced manufacturing).</w:t>
      </w:r>
    </w:p>
    <w:p>
      <w:pPr>
        <w:pStyle w:val="ListParagraph"/>
        <w:numPr>
          <w:ilvl w:val="0"/>
          <w:numId w:val="1"/>
        </w:numPr>
      </w:pPr>
      <w:r>
        <w:t xml:space="preserve">Re-underwrite zone: Base ≈ $273 (€240).</w:t>
      </w:r>
    </w:p>
    <w:p>
      <w:pPr>
        <w:pStyle w:val="Heading2"/>
        <w:spacing w:after="120" w:before="240"/>
      </w:pPr>
      <w:r>
        <w:t xml:space="preserve">0. Recent Context</w:t>
      </w:r>
    </w:p>
    <w:p>
      <w:r>
        <w:rPr>
          <w:b/>
          <w:bCs/>
        </w:rPr>
        <w:t xml:space="preserve">Last reported quarter: Q2-26, reported Aug 3, 2026 (after close)</w:t>
      </w:r>
      <w:r>
        <w:t xml:space="preserve"> (source: Sterling 8-K/press release; Q2 slides)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Q2-26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Q2-25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Δ YoY</w:t>
            </w:r>
          </w:p>
        </w:tc>
      </w:tr>
      <w:tr>
        <w:tc>
          <w:tcPr>
            <w:tcW w:type="dxa" w:w="2700"/>
          </w:tcPr>
          <w:p>
            <w:r>
              <w:t xml:space="preserve">Revenue</w:t>
            </w:r>
          </w:p>
        </w:tc>
        <w:tc>
          <w:tcPr>
            <w:tcW w:type="dxa" w:w="2700"/>
          </w:tcPr>
          <w:p>
            <w:r>
              <w:t xml:space="preserve">$1,168.2M</w:t>
            </w:r>
          </w:p>
        </w:tc>
        <w:tc>
          <w:tcPr>
            <w:tcW w:type="dxa" w:w="2700"/>
          </w:tcPr>
          <w:p>
            <w:r>
              <w:t xml:space="preserve">$614.5M</w:t>
            </w:r>
          </w:p>
        </w:tc>
        <w:tc>
          <w:tcPr>
            <w:tcW w:type="dxa" w:w="2700"/>
          </w:tcPr>
          <w:p>
            <w:r>
              <w:t xml:space="preserve">+90%</w:t>
            </w:r>
          </w:p>
        </w:tc>
      </w:tr>
      <w:tr>
        <w:tc>
          <w:tcPr>
            <w:tcW w:type="dxa" w:w="2700"/>
          </w:tcPr>
          <w:p>
            <w:r>
              <w:t xml:space="preserve">– E-Infrastructure</w:t>
            </w:r>
          </w:p>
        </w:tc>
        <w:tc>
          <w:tcPr>
            <w:tcW w:type="dxa" w:w="2700"/>
          </w:tcPr>
          <w:p>
            <w:r>
              <w:t xml:space="preserve">$905.0M</w:t>
            </w:r>
          </w:p>
        </w:tc>
        <w:tc>
          <w:tcPr>
            <w:tcW w:type="dxa" w:w="2700"/>
          </w:tcPr>
          <w:p>
            <w:r>
              <w:t xml:space="preserve">$310.4M</w:t>
            </w:r>
          </w:p>
        </w:tc>
        <w:tc>
          <w:tcPr>
            <w:tcW w:type="dxa" w:w="2700"/>
          </w:tcPr>
          <w:p>
            <w:r>
              <w:t xml:space="preserve">+192%</w:t>
            </w:r>
          </w:p>
        </w:tc>
      </w:tr>
      <w:tr>
        <w:tc>
          <w:tcPr>
            <w:tcW w:type="dxa" w:w="2700"/>
          </w:tcPr>
          <w:p>
            <w:r>
              <w:t xml:space="preserve">– Transportation</w:t>
            </w:r>
          </w:p>
        </w:tc>
        <w:tc>
          <w:tcPr>
            <w:tcW w:type="dxa" w:w="2700"/>
          </w:tcPr>
          <w:p>
            <w:r>
              <w:t xml:space="preserve">$156.7M</w:t>
            </w:r>
          </w:p>
        </w:tc>
        <w:tc>
          <w:tcPr>
            <w:tcW w:type="dxa" w:w="2700"/>
          </w:tcPr>
          <w:p>
            <w:r>
              <w:t xml:space="preserve">$196.8M</w:t>
            </w:r>
          </w:p>
        </w:tc>
        <w:tc>
          <w:tcPr>
            <w:tcW w:type="dxa" w:w="2700"/>
          </w:tcPr>
          <w:p>
            <w:r>
              <w:t xml:space="preserve">−20%</w:t>
            </w:r>
          </w:p>
        </w:tc>
      </w:tr>
      <w:tr>
        <w:tc>
          <w:tcPr>
            <w:tcW w:type="dxa" w:w="2700"/>
          </w:tcPr>
          <w:p>
            <w:r>
              <w:t xml:space="preserve">– Building</w:t>
            </w:r>
          </w:p>
        </w:tc>
        <w:tc>
          <w:tcPr>
            <w:tcW w:type="dxa" w:w="2700"/>
          </w:tcPr>
          <w:p>
            <w:r>
              <w:t xml:space="preserve">$106.5M</w:t>
            </w:r>
          </w:p>
        </w:tc>
        <w:tc>
          <w:tcPr>
            <w:tcW w:type="dxa" w:w="2700"/>
          </w:tcPr>
          <w:p>
            <w:r>
              <w:t xml:space="preserve">$107.3M</w:t>
            </w:r>
          </w:p>
        </w:tc>
        <w:tc>
          <w:tcPr>
            <w:tcW w:type="dxa" w:w="2700"/>
          </w:tcPr>
          <w:p>
            <w:r>
              <w:t xml:space="preserve">−1%</w:t>
            </w:r>
          </w:p>
        </w:tc>
      </w:tr>
      <w:tr>
        <w:tc>
          <w:tcPr>
            <w:tcW w:type="dxa" w:w="2700"/>
          </w:tcPr>
          <w:p>
            <w:r>
              <w:t xml:space="preserve">Gross margin</w:t>
            </w:r>
          </w:p>
        </w:tc>
        <w:tc>
          <w:tcPr>
            <w:tcW w:type="dxa" w:w="2700"/>
          </w:tcPr>
          <w:p>
            <w:r>
              <w:t xml:space="preserve">24.8%</w:t>
            </w:r>
          </w:p>
        </w:tc>
        <w:tc>
          <w:tcPr>
            <w:tcW w:type="dxa" w:w="2700"/>
          </w:tcPr>
          <w:p>
            <w:r>
              <w:t xml:space="preserve">23.3%</w:t>
            </w:r>
          </w:p>
        </w:tc>
        <w:tc>
          <w:tcPr>
            <w:tcW w:type="dxa" w:w="2700"/>
          </w:tcPr>
          <w:p>
            <w:r>
              <w:t xml:space="preserve">+1.5pp</w:t>
            </w:r>
          </w:p>
        </w:tc>
      </w:tr>
      <w:tr>
        <w:tc>
          <w:tcPr>
            <w:tcW w:type="dxa" w:w="2700"/>
          </w:tcPr>
          <w:p>
            <w:r>
              <w:t xml:space="preserve">Net income</w:t>
            </w:r>
          </w:p>
        </w:tc>
        <w:tc>
          <w:tcPr>
            <w:tcW w:type="dxa" w:w="2700"/>
          </w:tcPr>
          <w:p>
            <w:r>
              <w:t xml:space="preserve">$155.8M</w:t>
            </w:r>
          </w:p>
        </w:tc>
        <w:tc>
          <w:tcPr>
            <w:tcW w:type="dxa" w:w="2700"/>
          </w:tcPr>
          <w:p>
            <w:r>
              <w:t xml:space="preserve">~$71M</w:t>
            </w:r>
          </w:p>
        </w:tc>
        <w:tc>
          <w:tcPr>
            <w:tcW w:type="dxa" w:w="2700"/>
          </w:tcPr>
          <w:p>
            <w:r>
              <w:t xml:space="preserve">+120%</w:t>
            </w:r>
          </w:p>
        </w:tc>
      </w:tr>
      <w:tr>
        <w:tc>
          <w:tcPr>
            <w:tcW w:type="dxa" w:w="2700"/>
          </w:tcPr>
          <w:p>
            <w:r>
              <w:t xml:space="preserve">Diluted EPS / adj. diluted EPS</w:t>
            </w:r>
          </w:p>
        </w:tc>
        <w:tc>
          <w:tcPr>
            <w:tcW w:type="dxa" w:w="2700"/>
          </w:tcPr>
          <w:p>
            <w:r>
              <w:t xml:space="preserve">$5.00 / $5.80</w:t>
            </w:r>
          </w:p>
        </w:tc>
        <w:tc>
          <w:tcPr>
            <w:tcW w:type="dxa" w:w="2700"/>
          </w:tcPr>
          <w:p>
            <w:r>
              <w:t xml:space="preserve">$2.31 / $2.69 [derived]</w:t>
            </w:r>
          </w:p>
        </w:tc>
        <w:tc>
          <w:tcPr>
            <w:tcW w:type="dxa" w:w="2700"/>
          </w:tcPr>
          <w:p>
            <w:r>
              <w:t xml:space="preserve">+116% / +116%</w:t>
            </w:r>
          </w:p>
        </w:tc>
      </w:tr>
      <w:tr>
        <w:tc>
          <w:tcPr>
            <w:tcW w:type="dxa" w:w="2700"/>
          </w:tcPr>
          <w:p>
            <w:r>
              <w:t xml:space="preserve">Adj. EBITDA</w:t>
            </w:r>
          </w:p>
        </w:tc>
        <w:tc>
          <w:tcPr>
            <w:tcW w:type="dxa" w:w="2700"/>
          </w:tcPr>
          <w:p>
            <w:r>
              <w:t xml:space="preserve">$256.7M</w:t>
            </w:r>
          </w:p>
        </w:tc>
        <w:tc>
          <w:tcPr>
            <w:tcW w:type="dxa" w:w="2700"/>
          </w:tcPr>
          <w:p>
            <w:r>
              <w:t xml:space="preserve">~$126M</w:t>
            </w:r>
          </w:p>
        </w:tc>
        <w:tc>
          <w:tcPr>
            <w:tcW w:type="dxa" w:w="2700"/>
          </w:tcPr>
          <w:p>
            <w:r>
              <w:t xml:space="preserve">+104%</w:t>
            </w:r>
          </w:p>
        </w:tc>
      </w:tr>
      <w:tr>
        <w:tc>
          <w:tcPr>
            <w:tcW w:type="dxa" w:w="2700"/>
          </w:tcPr>
          <w:p>
            <w:r>
              <w:t xml:space="preserve">Adj. EBITDA margin</w:t>
            </w:r>
          </w:p>
        </w:tc>
        <w:tc>
          <w:tcPr>
            <w:tcW w:type="dxa" w:w="2700"/>
          </w:tcPr>
          <w:p>
            <w:r>
              <w:t xml:space="preserve">22.0%</w:t>
            </w:r>
          </w:p>
        </w:tc>
        <w:tc>
          <w:tcPr>
            <w:tcW w:type="dxa" w:w="2700"/>
          </w:tcPr>
          <w:p>
            <w:r>
              <w:t xml:space="preserve">20.5%</w:t>
            </w:r>
          </w:p>
        </w:tc>
        <w:tc>
          <w:tcPr>
            <w:tcW w:type="dxa" w:w="2700"/>
          </w:tcPr>
          <w:p>
            <w:r>
              <w:t xml:space="preserve">+1.5pp</w:t>
            </w:r>
          </w:p>
        </w:tc>
      </w:tr>
    </w:tbl>
    <w:p>
      <w:r>
        <w:t xml:space="preserve">Segment operating margins, Q2-26 vs Q2-25: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E-Infrastructure 23.3%, down from 27.0% (−3.7pp)</w:t>
      </w:r>
      <w:r>
        <w:t xml:space="preserve">. Adjusted: 24.1%. The decline reflects mix and the lower-margin CEC electrical work.</w:t>
      </w:r>
    </w:p>
    <w:p>
      <w:pPr>
        <w:pStyle w:val="ListParagraph"/>
        <w:numPr>
          <w:ilvl w:val="0"/>
          <w:numId w:val="1"/>
        </w:numPr>
      </w:pPr>
      <w:r>
        <w:t xml:space="preserve">Transportation 18.0%, up from 13.2%.</w:t>
      </w:r>
    </w:p>
    <w:p>
      <w:pPr>
        <w:pStyle w:val="ListParagraph"/>
        <w:numPr>
          <w:ilvl w:val="0"/>
          <w:numId w:val="1"/>
        </w:numPr>
      </w:pPr>
      <w:r>
        <w:t xml:space="preserve">Building 8.0%, down from 9.2%.</w:t>
      </w:r>
    </w:p>
    <w:p>
      <w:r>
        <w:rPr>
          <w:b/>
          <w:bCs/>
        </w:rPr>
        <w:t xml:space="preserve">H1-26:</w:t>
      </w:r>
    </w:p>
    <w:p>
      <w:pPr>
        <w:pStyle w:val="ListParagraph"/>
        <w:numPr>
          <w:ilvl w:val="0"/>
          <w:numId w:val="1"/>
        </w:numPr>
      </w:pPr>
      <w:r>
        <w:t xml:space="preserve">Revenue $1,993.9M vs $1,045.4M (+91%).</w:t>
      </w:r>
    </w:p>
    <w:p>
      <w:pPr>
        <w:pStyle w:val="ListParagraph"/>
        <w:numPr>
          <w:ilvl w:val="0"/>
          <w:numId w:val="1"/>
        </w:numPr>
      </w:pPr>
      <w:r>
        <w:t xml:space="preserve">Net income $251.8M vs $110.5M (+128%).</w:t>
      </w:r>
    </w:p>
    <w:p>
      <w:pPr>
        <w:pStyle w:val="ListParagraph"/>
        <w:numPr>
          <w:ilvl w:val="0"/>
          <w:numId w:val="1"/>
        </w:numPr>
      </w:pPr>
      <w:r>
        <w:t xml:space="preserve">Adj. EPS $9.39 vs $4.32 (+117%).</w:t>
      </w:r>
    </w:p>
    <w:p>
      <w:pPr>
        <w:pStyle w:val="ListParagraph"/>
        <w:numPr>
          <w:ilvl w:val="0"/>
          <w:numId w:val="1"/>
        </w:numPr>
      </w:pPr>
      <w:r>
        <w:t xml:space="preserve">Operating cash flow $328.0M vs $170.3M (+93%).</w:t>
      </w:r>
    </w:p>
    <w:p>
      <w:pPr>
        <w:pStyle w:val="ListParagraph"/>
        <w:numPr>
          <w:ilvl w:val="0"/>
          <w:numId w:val="1"/>
        </w:numPr>
      </w:pPr>
      <w:r>
        <w:t xml:space="preserve">Buybacks $35.3M.</w:t>
      </w:r>
    </w:p>
    <w:p>
      <w:r>
        <w:rPr>
          <w:b/>
          <w:bCs/>
        </w:rPr>
        <w:t xml:space="preserve">Backlog (key sector metric):</w:t>
      </w:r>
    </w:p>
    <w:p>
      <w:pPr>
        <w:pStyle w:val="ListParagraph"/>
        <w:numPr>
          <w:ilvl w:val="0"/>
          <w:numId w:val="1"/>
        </w:numPr>
      </w:pPr>
      <w:r>
        <w:t xml:space="preserve">Signed backlog </w:t>
      </w:r>
      <w:r>
        <w:rPr>
          <w:b/>
          <w:bCs/>
        </w:rPr>
        <w:t xml:space="preserve">$4.33B (+116% YoY; +50% organic)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Combined backlog $5.62B (+150% YoY; +36% organic), including $1.28B of unsigned awards.</w:t>
      </w:r>
    </w:p>
    <w:p>
      <w:pPr>
        <w:pStyle w:val="ListParagraph"/>
        <w:numPr>
          <w:ilvl w:val="0"/>
          <w:numId w:val="1"/>
        </w:numPr>
      </w:pPr>
      <w:r>
        <w:t xml:space="preserve">Future-phase pipeline &gt;$1.4B. Total "addressable pool" &gt;$7.0B.</w:t>
      </w:r>
    </w:p>
    <w:p>
      <w:pPr>
        <w:pStyle w:val="ListParagraph"/>
        <w:numPr>
          <w:ilvl w:val="0"/>
          <w:numId w:val="1"/>
        </w:numPr>
      </w:pPr>
      <w:r>
        <w:t xml:space="preserve">Book-to-burn 1.4× (signed) / 1.3× (combined).</w:t>
      </w:r>
    </w:p>
    <w:p>
      <w:pPr>
        <w:pStyle w:val="ListParagraph"/>
        <w:numPr>
          <w:ilvl w:val="0"/>
          <w:numId w:val="1"/>
        </w:numPr>
      </w:pPr>
      <w:r>
        <w:t xml:space="preserve">92% of E-Infrastructure backlog is "mission-critical" work: data centres, semiconductor fabs, manufacturing.</w:t>
      </w:r>
    </w:p>
    <w:p>
      <w:r>
        <w:rPr>
          <w:b/>
          <w:bCs/>
        </w:rPr>
        <w:t xml:space="preserve">FY26 guidance (raised):</w:t>
      </w:r>
    </w:p>
    <w:p>
      <w:pPr>
        <w:pStyle w:val="ListParagraph"/>
        <w:numPr>
          <w:ilvl w:val="0"/>
          <w:numId w:val="1"/>
        </w:numPr>
      </w:pPr>
      <w:r>
        <w:t xml:space="preserve">Revenue $4.00–4.15B (midpoint +64% YoY).</w:t>
      </w:r>
    </w:p>
    <w:p>
      <w:pPr>
        <w:pStyle w:val="ListParagraph"/>
        <w:numPr>
          <w:ilvl w:val="0"/>
          <w:numId w:val="1"/>
        </w:numPr>
      </w:pPr>
      <w:r>
        <w:t xml:space="preserve">Net income $536–555M. Diluted EPS $17.25–17.85.</w:t>
      </w:r>
    </w:p>
    <w:p>
      <w:pPr>
        <w:pStyle w:val="ListParagraph"/>
        <w:numPr>
          <w:ilvl w:val="0"/>
          <w:numId w:val="1"/>
        </w:numPr>
      </w:pPr>
      <w:r>
        <w:t xml:space="preserve">Adj. EPS $19.70–20.30 (+84% at midpoint vs FY25 $10.88).</w:t>
      </w:r>
    </w:p>
    <w:p>
      <w:pPr>
        <w:pStyle w:val="ListParagraph"/>
        <w:numPr>
          <w:ilvl w:val="0"/>
          <w:numId w:val="1"/>
        </w:numPr>
      </w:pPr>
      <w:r>
        <w:t xml:space="preserve">Adj. EBITDA $891–916M (+79%).</w:t>
      </w:r>
    </w:p>
    <w:p>
      <w:pPr>
        <w:pStyle w:val="ListParagraph"/>
        <w:numPr>
          <w:ilvl w:val="0"/>
          <w:numId w:val="1"/>
        </w:numPr>
      </w:pPr>
      <w:r>
        <w:t xml:space="preserve">The prior guide was not retrieved, so the size of the raise is not quantified here.</w:t>
      </w:r>
    </w:p>
    <w:p>
      <w:r>
        <w:rPr>
          <w:b/>
          <w:bCs/>
        </w:rPr>
        <w:t xml:space="preserve">Why the stock fell:</w:t>
      </w:r>
    </w:p>
    <w:p>
      <w:pPr>
        <w:pStyle w:val="ListParagraph"/>
        <w:numPr>
          <w:ilvl w:val="0"/>
          <w:numId w:val="1"/>
        </w:numPr>
      </w:pPr>
      <w:r>
        <w:t xml:space="preserve">Shares dropped </w:t>
      </w:r>
      <w:r>
        <w:rPr>
          <w:b/>
          <w:bCs/>
        </w:rPr>
        <w:t xml:space="preserve">−13.4% after hours</w:t>
      </w:r>
      <w:r>
        <w:t xml:space="preserve"> to $529.61 (prior close $611.47).</w:t>
      </w:r>
    </w:p>
    <w:p>
      <w:pPr>
        <w:pStyle w:val="ListParagraph"/>
        <w:numPr>
          <w:ilvl w:val="0"/>
          <w:numId w:val="1"/>
        </w:numPr>
      </w:pPr>
      <w:r>
        <w:t xml:space="preserve">The raised guide implied only a </w:t>
      </w:r>
      <w:r>
        <w:rPr>
          <w:b/>
          <w:bCs/>
        </w:rPr>
        <w:t xml:space="preserve">~14% incremental EBITDA margin</w:t>
      </w:r>
      <w:r>
        <w:t xml:space="preserve"> on the added revenue, versus ~22% currently. That points to dilution from the Stone Ridge acquisition.</w:t>
      </w:r>
    </w:p>
    <w:p>
      <w:pPr>
        <w:pStyle w:val="ListParagraph"/>
        <w:numPr>
          <w:ilvl w:val="0"/>
          <w:numId w:val="1"/>
        </w:numPr>
      </w:pPr>
      <w:r>
        <w:t xml:space="preserve">Management said *capacity*, not demand, is the constraint. That shifts risk to execution: labour, subcontractors, integration.</w:t>
      </w:r>
    </w:p>
    <w:p>
      <w:pPr>
        <w:pStyle w:val="ListParagraph"/>
        <w:numPr>
          <w:ilvl w:val="0"/>
          <w:numId w:val="1"/>
        </w:numPr>
      </w:pPr>
      <w:r>
        <w:t xml:space="preserve">Sector-wide AI-infrastructure de-rating followed.</w:t>
      </w:r>
    </w:p>
    <w:p>
      <w:r>
        <w:rPr>
          <w:b/>
          <w:bCs/>
        </w:rPr>
        <w:t xml:space="preserve">CEO commentary</w:t>
      </w:r>
      <w:r>
        <w:t xml:space="preserve"> (Joe Cutillo): "demand across our end markets remains strong."</w:t>
      </w:r>
    </w:p>
    <w:p>
      <w:r>
        <w:rPr>
          <w:b/>
          <w:bCs/>
        </w:rPr>
        <w:t xml:space="preserve">Recent news (trailing ~90 days):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Jun 1, 2026:</w:t>
      </w:r>
      <w:r>
        <w:t xml:space="preserve"> closed </w:t>
      </w:r>
      <w:r>
        <w:rPr>
          <w:b/>
          <w:bCs/>
        </w:rPr>
        <w:t xml:space="preserve">Stone Ridge Contracting</w:t>
      </w:r>
      <w:r>
        <w:t xml:space="preserve"> (Pocatello, ID; site development for data centres, mining and industrial). Price $178.0M: $140.0M cash + $27.4M stock, plus up to $15M earn-out.</w:t>
      </w:r>
    </w:p>
    <w:p>
      <w:pPr>
        <w:pStyle w:val="ListParagraph"/>
        <w:numPr>
          <w:ilvl w:val="0"/>
          <w:numId w:val="1"/>
        </w:numPr>
      </w:pPr>
      <w:r>
        <w:t xml:space="preserve">The credit facility was enlarged to </w:t>
      </w:r>
      <w:r>
        <w:rPr>
          <w:b/>
          <w:bCs/>
        </w:rPr>
        <w:t xml:space="preserve">$1.5B</w:t>
      </w:r>
      <w:r>
        <w:t xml:space="preserve">, which is capacity for further M&amp;A.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Earlier deal (Sept 1, 2025): CEC Facilities Group</w:t>
      </w:r>
      <w:r>
        <w:t xml:space="preserve"> (electrical/mechanical). Closing consideration </w:t>
      </w:r>
      <w:r>
        <w:rPr>
          <w:b/>
          <w:bCs/>
        </w:rPr>
        <w:t xml:space="preserve">$561.6M</w:t>
      </w:r>
      <w:r>
        <w:t xml:space="preserve"> ($442.9M cash + $79.5M stock) against the $505M announced.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Sept 21, 2026:</w:t>
      </w:r>
      <w:r>
        <w:t xml:space="preserve"> CEO Cutillo </w:t>
      </w:r>
      <w:r>
        <w:rPr>
          <w:b/>
          <w:bCs/>
        </w:rPr>
        <w:t xml:space="preserve">gifted</w:t>
      </w:r>
      <w:r>
        <w:t xml:space="preserve"> 40,000 shares to trusts for his children. This is not a sale.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Consensus:</w:t>
      </w:r>
      <w:r>
        <w:t xml:space="preserve"> Strong Buy (8 analysts). Mean target $876, median $950 (+71% / +85% vs $513.72).</w:t>
      </w:r>
    </w:p>
    <w:p>
      <w:r>
        <w:rPr>
          <w:b/>
          <w:bCs/>
        </w:rPr>
        <w:t xml:space="preserve">Price:</w:t>
      </w:r>
      <w:r>
        <w:t xml:space="preserve"> 52-week range $281.58–$1,005.68. $513.72 is </w:t>
      </w:r>
      <w:r>
        <w:rPr>
          <w:b/>
          <w:bCs/>
        </w:rPr>
        <w:t xml:space="preserve">48.9% below the high</w:t>
      </w:r>
      <w:r>
        <w:t xml:space="preserve">. It is +34% over the 12-1 month window, −42% over 3 months and +6% over 1 month, below the 200-day average ($532.73).</w:t>
      </w:r>
    </w:p>
    <w:p>
      <w:pPr>
        <w:pStyle w:val="Heading2"/>
        <w:spacing w:after="120" w:before="240"/>
      </w:pPr>
      <w:r>
        <w:t xml:space="preserve">1. Business Overview</w:t>
      </w:r>
    </w:p>
    <w:p>
      <w:r>
        <w:rPr>
          <w:b/>
          <w:bCs/>
        </w:rPr>
        <w:t xml:space="preserve">Segments</w:t>
      </w:r>
      <w:r>
        <w:t xml:space="preserve"> (Sterling's reporting; Q2-26):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Segment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What it does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Q2-26 revenue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Share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Q2-26 op. income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Margin</w:t>
            </w:r>
          </w:p>
        </w:tc>
      </w:tr>
      <w:tr>
        <w:tc>
          <w:tcPr>
            <w:tcW w:type="dxa" w:w="1800"/>
          </w:tcPr>
          <w:p>
            <w:r>
              <w:t xml:space="preserve">E-Infrastructure Solutions</w:t>
            </w:r>
          </w:p>
        </w:tc>
        <w:tc>
          <w:tcPr>
            <w:tcW w:type="dxa" w:w="1800"/>
          </w:tcPr>
          <w:p>
            <w:r>
              <w:t xml:space="preserve">Large-scale site development (excavation, grading, foundations, utilities) for data centres, semiconductor fabs, advanced manufacturing and distribution. Now also electrical/mechanical via CEC</w:t>
            </w:r>
          </w:p>
        </w:tc>
        <w:tc>
          <w:tcPr>
            <w:tcW w:type="dxa" w:w="1800"/>
          </w:tcPr>
          <w:p>
            <w:r>
              <w:t xml:space="preserve">$905.0M</w:t>
            </w:r>
          </w:p>
        </w:tc>
        <w:tc>
          <w:tcPr>
            <w:tcW w:type="dxa" w:w="1800"/>
          </w:tcPr>
          <w:p>
            <w:r>
              <w:t xml:space="preserve">77%</w:t>
            </w:r>
          </w:p>
        </w:tc>
        <w:tc>
          <w:tcPr>
            <w:tcW w:type="dxa" w:w="1800"/>
          </w:tcPr>
          <w:p>
            <w:r>
              <w:t xml:space="preserve">$210.8M</w:t>
            </w:r>
          </w:p>
        </w:tc>
        <w:tc>
          <w:tcPr>
            <w:tcW w:type="dxa" w:w="1800"/>
          </w:tcPr>
          <w:p>
            <w:r>
              <w:t xml:space="preserve">23.3%</w:t>
            </w:r>
          </w:p>
        </w:tc>
      </w:tr>
      <w:tr>
        <w:tc>
          <w:tcPr>
            <w:tcW w:type="dxa" w:w="1800"/>
          </w:tcPr>
          <w:p>
            <w:r>
              <w:t xml:space="preserve">Transportation Solutions</w:t>
            </w:r>
          </w:p>
        </w:tc>
        <w:tc>
          <w:tcPr>
            <w:tcW w:type="dxa" w:w="1800"/>
          </w:tcPr>
          <w:p>
            <w:r>
              <w:t xml:space="preserve">Highways, bridges, airports, rail and storm-drainage for state DOTs and municipalities</w:t>
            </w:r>
          </w:p>
        </w:tc>
        <w:tc>
          <w:tcPr>
            <w:tcW w:type="dxa" w:w="1800"/>
          </w:tcPr>
          <w:p>
            <w:r>
              <w:t xml:space="preserve">$156.7M</w:t>
            </w:r>
          </w:p>
        </w:tc>
        <w:tc>
          <w:tcPr>
            <w:tcW w:type="dxa" w:w="1800"/>
          </w:tcPr>
          <w:p>
            <w:r>
              <w:t xml:space="preserve">13%</w:t>
            </w:r>
          </w:p>
        </w:tc>
        <w:tc>
          <w:tcPr>
            <w:tcW w:type="dxa" w:w="1800"/>
          </w:tcPr>
          <w:p>
            <w:r>
              <w:t xml:space="preserve">$28.2M</w:t>
            </w:r>
          </w:p>
        </w:tc>
        <w:tc>
          <w:tcPr>
            <w:tcW w:type="dxa" w:w="1800"/>
          </w:tcPr>
          <w:p>
            <w:r>
              <w:t xml:space="preserve">18.0%</w:t>
            </w:r>
          </w:p>
        </w:tc>
      </w:tr>
      <w:tr>
        <w:tc>
          <w:tcPr>
            <w:tcW w:type="dxa" w:w="1800"/>
          </w:tcPr>
          <w:p>
            <w:r>
              <w:t xml:space="preserve">Building Solutions</w:t>
            </w:r>
          </w:p>
        </w:tc>
        <w:tc>
          <w:tcPr>
            <w:tcW w:type="dxa" w:w="1800"/>
          </w:tcPr>
          <w:p>
            <w:r>
              <w:t xml:space="preserve">Residential slab foundations (homebuilders) and commercial building work</w:t>
            </w:r>
          </w:p>
        </w:tc>
        <w:tc>
          <w:tcPr>
            <w:tcW w:type="dxa" w:w="1800"/>
          </w:tcPr>
          <w:p>
            <w:r>
              <w:t xml:space="preserve">$106.5M</w:t>
            </w:r>
          </w:p>
        </w:tc>
        <w:tc>
          <w:tcPr>
            <w:tcW w:type="dxa" w:w="1800"/>
          </w:tcPr>
          <w:p>
            <w:r>
              <w:t xml:space="preserve">9%</w:t>
            </w:r>
          </w:p>
        </w:tc>
        <w:tc>
          <w:tcPr>
            <w:tcW w:type="dxa" w:w="1800"/>
          </w:tcPr>
          <w:p>
            <w:r>
              <w:t xml:space="preserve">$8.5M</w:t>
            </w:r>
          </w:p>
        </w:tc>
        <w:tc>
          <w:tcPr>
            <w:tcW w:type="dxa" w:w="1800"/>
          </w:tcPr>
          <w:p>
            <w:r>
              <w:t xml:space="preserve">8.0%</w:t>
            </w:r>
          </w:p>
        </w:tc>
      </w:tr>
    </w:tbl>
    <w:p>
      <w:r>
        <w:rPr>
          <w:b/>
          <w:bCs/>
        </w:rPr>
        <w:t xml:space="preserve">Principal markets:</w:t>
      </w:r>
    </w:p>
    <w:p>
      <w:pPr>
        <w:pStyle w:val="ListParagraph"/>
        <w:numPr>
          <w:ilvl w:val="0"/>
          <w:numId w:val="1"/>
        </w:numPr>
      </w:pPr>
      <w:r>
        <w:t xml:space="preserve">US only, concentrated in the Southeast, Southwest (Texas, Arizona), Mid-Atlantic and Rocky Mountain regions.</w:t>
      </w:r>
    </w:p>
    <w:p>
      <w:pPr>
        <w:pStyle w:val="ListParagraph"/>
        <w:numPr>
          <w:ilvl w:val="0"/>
          <w:numId w:val="1"/>
        </w:numPr>
      </w:pPr>
      <w:r>
        <w:t xml:space="preserve">Customers are hyperscalers and their general contractors, chip/manufacturing owners, state DOTs and national homebuilders.</w:t>
      </w:r>
    </w:p>
    <w:p>
      <w:pPr>
        <w:pStyle w:val="ListParagraph"/>
        <w:numPr>
          <w:ilvl w:val="0"/>
          <w:numId w:val="1"/>
        </w:numPr>
      </w:pPr>
      <w:r>
        <w:t xml:space="preserve">Competitors: regional site-development contractors, Granite Construction and Primoris (civil), EMCOR/MYR/Quanta (electrical/mechanical), and large GCs self-performing.</w:t>
      </w:r>
    </w:p>
    <w:p>
      <w:pPr>
        <w:pStyle w:val="ListParagraph"/>
        <w:numPr>
          <w:ilvl w:val="0"/>
          <w:numId w:val="1"/>
        </w:numPr>
      </w:pPr>
      <w:r>
        <w:t xml:space="preserve">Market position: a leading site-development specialist for mega-sites [UNCONFIRMED ranking].</w:t>
      </w:r>
    </w:p>
    <w:p>
      <w:r>
        <w:rPr>
          <w:b/>
          <w:bCs/>
        </w:rPr>
        <w:t xml:space="preserve">TAM:</w:t>
      </w:r>
    </w:p>
    <w:p>
      <w:pPr>
        <w:pStyle w:val="ListParagraph"/>
        <w:numPr>
          <w:ilvl w:val="0"/>
          <w:numId w:val="1"/>
        </w:numPr>
      </w:pPr>
      <w:r>
        <w:t xml:space="preserve">Sterling does not disclose a TAM figure.</w:t>
      </w:r>
    </w:p>
    <w:p>
      <w:pPr>
        <w:pStyle w:val="ListParagraph"/>
        <w:numPr>
          <w:ilvl w:val="0"/>
          <w:numId w:val="1"/>
        </w:numPr>
      </w:pPr>
      <w:r>
        <w:t xml:space="preserve">Its disclosed </w:t>
      </w:r>
      <w:r>
        <w:rPr>
          <w:b/>
          <w:bCs/>
        </w:rPr>
        <w:t xml:space="preserve">"&gt;$7.0B addressable pool"</w:t>
      </w:r>
      <w:r>
        <w:t xml:space="preserve"> (signed + unsigned + future phases) is visibility on its own pipeline, not a market-size estimate, so it is not used as TAM.</w:t>
      </w:r>
    </w:p>
    <w:p>
      <w:pPr>
        <w:pStyle w:val="ListParagraph"/>
        <w:numPr>
          <w:ilvl w:val="0"/>
          <w:numId w:val="1"/>
        </w:numPr>
      </w:pPr>
      <w:r>
        <w:t xml:space="preserve">No sourced independent TAM was retrieved. </w:t>
      </w:r>
      <w:r>
        <w:rPr>
          <w:b/>
          <w:bCs/>
        </w:rPr>
        <w:t xml:space="preserve">No TAM is stated.</w:t>
      </w:r>
    </w:p>
    <w:p>
      <w:pPr>
        <w:pStyle w:val="Heading2"/>
        <w:spacing w:after="120" w:before="240"/>
      </w:pPr>
      <w:r>
        <w:t xml:space="preserve">2. Routing</w:t>
      </w:r>
    </w:p>
    <w:p>
      <w:r>
        <w:rPr>
          <w:b/>
          <w:bCs/>
        </w:rPr>
        <w:t xml:space="preserve">Track A-ID (Industrials; Engineering &amp; Construction).</w:t>
      </w:r>
    </w:p>
    <w:p>
      <w:pPr>
        <w:pStyle w:val="ListParagraph"/>
        <w:numPr>
          <w:ilvl w:val="0"/>
          <w:numId w:val="1"/>
        </w:numPr>
      </w:pPr>
      <w:r>
        <w:t xml:space="preserve">A profitable, cash-generative contractor with visible earnings, so the anchor is Koller DCF plus peer EV/EBITDA and backlog metrics.</w:t>
      </w:r>
    </w:p>
    <w:p>
      <w:pPr>
        <w:pStyle w:val="ListParagraph"/>
        <w:numPr>
          <w:ilvl w:val="0"/>
          <w:numId w:val="1"/>
        </w:numPr>
      </w:pPr>
      <w:r>
        <w:t xml:space="preserve">The data-centre exposure is a *demand driver*, not a change in business model. It stays in Track A: it is not a Track B semis/AI-infrastructure hardware name.</w:t>
      </w:r>
    </w:p>
    <w:p>
      <w:pPr>
        <w:pStyle w:val="Heading2"/>
        <w:spacing w:after="120" w:before="240"/>
      </w:pPr>
      <w:r>
        <w:t xml:space="preserve">3. Categorization (Lynch)</w:t>
      </w:r>
    </w:p>
    <w:p>
      <w:r>
        <w:rPr>
          <w:b/>
          <w:bCs/>
        </w:rPr>
        <w:t xml:space="preserve">Fast Grower, with cyclical end-market exposure.</w:t>
      </w:r>
    </w:p>
    <w:p>
      <w:pPr>
        <w:pStyle w:val="ListParagraph"/>
        <w:numPr>
          <w:ilvl w:val="0"/>
          <w:numId w:val="1"/>
        </w:numPr>
      </w:pPr>
      <w:r>
        <w:t xml:space="preserve">Net income FY22 $106.5M → FY25 $290.2M, a CAGR of </w:t>
      </w:r>
      <w:r>
        <w:rPr>
          <w:b/>
          <w:bCs/>
        </w:rPr>
        <w:t xml:space="preserve">+40%</w:t>
      </w:r>
      <w:r>
        <w:t xml:space="preserve">. The FY26 guide is ~$545M (+88%).</w:t>
      </w:r>
    </w:p>
    <w:p>
      <w:pPr>
        <w:pStyle w:val="ListParagraph"/>
        <w:numPr>
          <w:ilvl w:val="0"/>
          <w:numId w:val="1"/>
        </w:numPr>
      </w:pPr>
      <w:r>
        <w:t xml:space="preserve">PEG: P/E on the FY26 adj. EPS guide is ~25.7×; on consensus FY27 EPS ($25.40) it is ~20.2×. Against normalised growth of ~15–20%, PEG ≈ 1.0–1.7. That is the "accept only with strong quality" band.</w:t>
      </w:r>
    </w:p>
    <w:p>
      <w:pPr>
        <w:pStyle w:val="ListParagraph"/>
        <w:numPr>
          <w:ilvl w:val="0"/>
          <w:numId w:val="1"/>
        </w:numPr>
      </w:pPr>
      <w:r>
        <w:t xml:space="preserve">Caveat: much of FY26 growth is acquired (CEC, Stone Ridge). Organic signed backlog is +50%.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r>
        <w:rPr>
          <w:b/>
          <w:bCs/>
        </w:rPr>
        <w:t xml:space="preserve">Accrual ratio (NI − OCF) / avg total assets: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Year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Accrual ratio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Components</w:t>
            </w:r>
          </w:p>
        </w:tc>
      </w:tr>
      <w:tr>
        <w:tc>
          <w:tcPr>
            <w:tcW w:type="dxa" w:w="3600"/>
          </w:tcPr>
          <w:p>
            <w:r>
              <w:t xml:space="preserve">FY25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−6.5%</w:t>
            </w:r>
          </w:p>
        </w:tc>
        <w:tc>
          <w:tcPr>
            <w:tcW w:type="dxa" w:w="3600"/>
          </w:tcPr>
          <w:p>
            <w:r>
              <w:t xml:space="preserve">NI $290.2M, OCF $440.0M, avg assets $2,325M</w:t>
            </w:r>
          </w:p>
        </w:tc>
      </w:tr>
      <w:tr>
        <w:tc>
          <w:tcPr>
            <w:tcW w:type="dxa" w:w="3600"/>
          </w:tcPr>
          <w:p>
            <w:r>
              <w:t xml:space="preserve">FY24</w:t>
            </w:r>
          </w:p>
        </w:tc>
        <w:tc>
          <w:tcPr>
            <w:tcW w:type="dxa" w:w="3600"/>
          </w:tcPr>
          <w:p>
            <w:r>
              <w:t xml:space="preserve">−12.6%</w:t>
            </w:r>
          </w:p>
        </w:tc>
        <w:tc>
          <w:tcPr>
            <w:tcW w:type="dxa" w:w="3600"/>
          </w:tcPr>
          <w:p>
            <w:r>
              <w:t xml:space="preserve">NI $257.5M, OCF $497.1M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Earnings are strongly cash-backed. No Sloan flag.</w:t>
      </w:r>
    </w:p>
    <w:p>
      <w:r>
        <w:rPr>
          <w:b/>
          <w:bCs/>
        </w:rPr>
        <w:t xml:space="preserve">Transitory items:</w:t>
      </w:r>
    </w:p>
    <w:p>
      <w:pPr>
        <w:pStyle w:val="ListParagraph"/>
        <w:numPr>
          <w:ilvl w:val="0"/>
          <w:numId w:val="1"/>
        </w:numPr>
      </w:pPr>
      <w:r>
        <w:t xml:space="preserve">FY24 EBIT ($383.5M) exceeded operating income ($269.8M) by ~$114M. That is a non-operating gain, and FY24 net income is inflated by it.</w:t>
      </w:r>
    </w:p>
    <w:p>
      <w:pPr>
        <w:pStyle w:val="ListParagraph"/>
        <w:numPr>
          <w:ilvl w:val="0"/>
          <w:numId w:val="1"/>
        </w:numPr>
      </w:pPr>
      <w:r>
        <w:t xml:space="preserve">The persistent figures are operating income: FY22 $160.7M → FY23 $206.0M → FY24 $269.8M → FY25 $413.5M.</w:t>
      </w:r>
    </w:p>
    <w:p>
      <w:r>
        <w:rPr>
          <w:b/>
          <w:bCs/>
        </w:rPr>
        <w:t xml:space="preserve">RNOA / ROIC (NOPLAT/IC, 24% tax):</w:t>
      </w:r>
    </w:p>
    <w:p>
      <w:pPr>
        <w:pStyle w:val="ListParagraph"/>
        <w:numPr>
          <w:ilvl w:val="0"/>
          <w:numId w:val="1"/>
        </w:numPr>
      </w:pPr>
      <w:r>
        <w:t xml:space="preserve">13.5% (FY22) → 16.3% → 18.2% → </w:t>
      </w:r>
      <w:r>
        <w:rPr>
          <w:b/>
          <w:bCs/>
        </w:rPr>
        <w:t xml:space="preserve">22.4%</w:t>
      </w:r>
      <w:r>
        <w:t xml:space="preserve"> (FY25).</w:t>
      </w:r>
    </w:p>
    <w:p>
      <w:pPr>
        <w:pStyle w:val="ListParagraph"/>
        <w:numPr>
          <w:ilvl w:val="0"/>
          <w:numId w:val="1"/>
        </w:numPr>
      </w:pPr>
      <w:r>
        <w:t xml:space="preserve">Improvement is operating, not leverage: D/E fell from 1.0 to 0.2 and the company is now net cash.</w:t>
      </w:r>
    </w:p>
    <w:p>
      <w:r>
        <w:rPr>
          <w:b/>
          <w:bCs/>
        </w:rPr>
        <w:t xml:space="preserve">Margin trend:</w:t>
      </w:r>
    </w:p>
    <w:p>
      <w:pPr>
        <w:pStyle w:val="ListParagraph"/>
        <w:numPr>
          <w:ilvl w:val="0"/>
          <w:numId w:val="1"/>
        </w:numPr>
      </w:pPr>
      <w:r>
        <w:t xml:space="preserve">Gross margin 15.5% (FY22) → 17.1% → 20.1% → 23.0% → 24.8% (Q2-26).</w:t>
      </w:r>
    </w:p>
    <w:p>
      <w:pPr>
        <w:pStyle w:val="ListParagraph"/>
        <w:numPr>
          <w:ilvl w:val="0"/>
          <w:numId w:val="1"/>
        </w:numPr>
      </w:pPr>
      <w:r>
        <w:t xml:space="preserve">But the E-Infrastructure segment margin </w:t>
      </w:r>
      <w:r>
        <w:rPr>
          <w:b/>
          <w:bCs/>
        </w:rPr>
        <w:t xml:space="preserve">fell</w:t>
      </w:r>
      <w:r>
        <w:t xml:space="preserve"> from 27.0% to 23.3% YoY. The guide's ~14% incremental EBITDA margin means consolidated margin expansion is likely peaking.</w:t>
      </w:r>
    </w:p>
    <w:p>
      <w:r>
        <w:rPr>
          <w:b/>
          <w:bCs/>
        </w:rPr>
        <w:t xml:space="preserve">Dilution:</w:t>
      </w:r>
      <w:r>
        <w:t xml:space="preserve"> shares flat at 30.6–30.9M over FY22–FY25. Stock issued for acquisitions ($79.5M CEC, $27.4M Stone Ridge) is offset by buybacks.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r>
        <w:rPr>
          <w:b/>
          <w:bCs/>
        </w:rPr>
        <w:t xml:space="preserve">WACC construction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Input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Note</w:t>
            </w:r>
          </w:p>
        </w:tc>
      </w:tr>
      <w:tr>
        <w:tc>
          <w:tcPr>
            <w:tcW w:type="dxa" w:w="3600"/>
          </w:tcPr>
          <w:p>
            <w:r>
              <w:t xml:space="preserve">Risk-free</w:t>
            </w:r>
          </w:p>
        </w:tc>
        <w:tc>
          <w:tcPr>
            <w:tcW w:type="dxa" w:w="3600"/>
          </w:tcPr>
          <w:p>
            <w:r>
              <w:t xml:space="preserve">5.14%</w:t>
            </w:r>
          </w:p>
        </w:tc>
        <w:tc>
          <w:tcPr>
            <w:tcW w:type="dxa" w:w="3600"/>
          </w:tcPr>
          <w:p>
            <w:r>
              <w:t xml:space="preserve">US 10Y (macro_report_2026-09-24)</w:t>
            </w:r>
          </w:p>
        </w:tc>
      </w:tr>
      <w:tr>
        <w:tc>
          <w:tcPr>
            <w:tcW w:type="dxa" w:w="3600"/>
          </w:tcPr>
          <w:p>
            <w:r>
              <w:t xml:space="preserve">ERP</w:t>
            </w:r>
          </w:p>
        </w:tc>
        <w:tc>
          <w:tcPr>
            <w:tcW w:type="dxa" w:w="3600"/>
          </w:tcPr>
          <w:p>
            <w:r>
              <w:t xml:space="preserve">4.5%</w:t>
            </w:r>
          </w:p>
        </w:tc>
        <w:tc>
          <w:tcPr>
            <w:tcW w:type="dxa" w:w="3600"/>
          </w:tcPr>
          <w:p>
            <w:r>
              <w:t xml:space="preserve">Agent default</w:t>
            </w:r>
          </w:p>
        </w:tc>
      </w:tr>
      <w:tr>
        <w:tc>
          <w:tcPr>
            <w:tcW w:type="dxa" w:w="3600"/>
          </w:tcPr>
          <w:p>
            <w:r>
              <w:t xml:space="preserve">Beta (reported)</w:t>
            </w:r>
          </w:p>
        </w:tc>
        <w:tc>
          <w:tcPr>
            <w:tcW w:type="dxa" w:w="3600"/>
          </w:tcPr>
          <w:p>
            <w:r>
              <w:t xml:space="preserve">1.85</w:t>
            </w:r>
          </w:p>
        </w:tc>
        <w:tc>
          <w:tcPr>
            <w:tcW w:type="dxa" w:w="3600"/>
          </w:tcPr>
          <w:p>
            <w:r>
              <w:t xml:space="preserve">yfinance. CAPM Re 13.5%, inflated by the 2025–26 AI-infra trade</w:t>
            </w:r>
          </w:p>
        </w:tc>
      </w:tr>
      <w:tr>
        <w:tc>
          <w:tcPr>
            <w:tcW w:type="dxa" w:w="3600"/>
          </w:tcPr>
          <w:p>
            <w:r>
              <w:t xml:space="preserve">Beta used (Base)</w:t>
            </w:r>
          </w:p>
        </w:tc>
        <w:tc>
          <w:tcPr>
            <w:tcW w:type="dxa" w:w="3600"/>
          </w:tcPr>
          <w:p>
            <w:r>
              <w:t xml:space="preserve">~1.2</w:t>
            </w:r>
          </w:p>
        </w:tc>
        <w:tc>
          <w:tcPr>
            <w:tcW w:type="dxa" w:w="3600"/>
          </w:tcPr>
          <w:p>
            <w:r>
              <w:t xml:space="preserve">E&amp;C peer-style. Re ≈ 10.5%</w:t>
            </w:r>
          </w:p>
        </w:tc>
      </w:tr>
      <w:tr>
        <w:tc>
          <w:tcPr>
            <w:tcW w:type="dxa" w:w="3600"/>
          </w:tcPr>
          <w:p>
            <w:r>
              <w:t xml:space="preserve">D/V</w:t>
            </w:r>
          </w:p>
        </w:tc>
        <w:tc>
          <w:tcPr>
            <w:tcW w:type="dxa" w:w="3600"/>
          </w:tcPr>
          <w:p>
            <w:r>
              <w:t xml:space="preserve">~1.8%</w:t>
            </w:r>
          </w:p>
        </w:tc>
        <w:tc>
          <w:tcPr>
            <w:tcW w:type="dxa" w:w="3600"/>
          </w:tcPr>
          <w:p>
            <w:r>
              <w:t xml:space="preserve">$284M debt vs $15.7B equity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WACC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10.5%</w:t>
            </w:r>
          </w:p>
        </w:tc>
        <w:tc>
          <w:tcPr>
            <w:tcW w:type="dxa" w:w="3600"/>
          </w:tcPr>
          <w:p>
            <w:r>
              <w:t xml:space="preserve">Stress case 12%</w:t>
            </w:r>
          </w:p>
        </w:tc>
      </w:tr>
    </w:tbl>
    <w:p>
      <w:r>
        <w:rPr>
          <w:b/>
          <w:bCs/>
        </w:rPr>
        <w:t xml:space="preserve">Scenario inputs</w:t>
      </w:r>
      <w:r>
        <w:t xml:space="preserve"> (base-year revenue FY26 guide midpoint $4.08B; tax 24%; terminal g 3%, terminal ROIC fading to 15%):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D9D9D9" w:val="clear"/>
          </w:tcPr>
          <w:p>
            <w:r>
              <w:t xml:space="preserve">Scenario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2027 growth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Growth yrs 2–5 → yr 10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NOPLAT margin (≈ EBIT)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Yr-10 revenue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Yr-10 NOPLAT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Value/share (10.5%)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€</w:t>
            </w:r>
          </w:p>
        </w:tc>
        <w:tc>
          <w:tcPr>
            <w:tcW w:type="dxa" w:w="1200"/>
            <w:shd w:fill="D9D9D9" w:val="clear"/>
          </w:tcPr>
          <w:p>
            <w:r>
              <w:t xml:space="preserve">Value/share (12%)</w:t>
            </w:r>
          </w:p>
        </w:tc>
      </w:tr>
      <w:tr>
        <w:tc>
          <w:tcPr>
            <w:tcW w:type="dxa" w:w="1200"/>
          </w:tcPr>
          <w:p>
            <w:r>
              <w:t xml:space="preserve">Bear</w:t>
            </w:r>
          </w:p>
        </w:tc>
        <w:tc>
          <w:tcPr>
            <w:tcW w:type="dxa" w:w="1200"/>
          </w:tcPr>
          <w:p>
            <w:r>
              <w:t xml:space="preserve">0% (hyperscaler capex pause)</w:t>
            </w:r>
          </w:p>
        </w:tc>
        <w:tc>
          <w:tcPr>
            <w:tcW w:type="dxa" w:w="1200"/>
          </w:tcPr>
          <w:p>
            <w:r>
              <w:t xml:space="preserve">3%</w:t>
            </w:r>
          </w:p>
        </w:tc>
        <w:tc>
          <w:tcPr>
            <w:tcW w:type="dxa" w:w="1200"/>
          </w:tcPr>
          <w:p>
            <w:r>
              <w:t xml:space="preserve">10.0% → 9.5% (≈ 12.5% EBIT)</w:t>
            </w:r>
          </w:p>
        </w:tc>
        <w:tc>
          <w:tcPr>
            <w:tcW w:type="dxa" w:w="1200"/>
          </w:tcPr>
          <w:p>
            <w:r>
              <w:t xml:space="preserve">$5.32B</w:t>
            </w:r>
          </w:p>
        </w:tc>
        <w:tc>
          <w:tcPr>
            <w:tcW w:type="dxa" w:w="1200"/>
          </w:tcPr>
          <w:p>
            <w:r>
              <w:t xml:space="preserve">$506M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$146.80</w:t>
            </w:r>
          </w:p>
        </w:tc>
        <w:tc>
          <w:tcPr>
            <w:tcW w:type="dxa" w:w="1200"/>
          </w:tcPr>
          <w:p>
            <w:r>
              <w:t xml:space="preserve">€128.89</w:t>
            </w:r>
          </w:p>
        </w:tc>
        <w:tc>
          <w:tcPr>
            <w:tcW w:type="dxa" w:w="1200"/>
          </w:tcPr>
          <w:p>
            <w:r>
              <w:t xml:space="preserve">~$123</w:t>
            </w:r>
          </w:p>
        </w:tc>
      </w:tr>
      <w:tr>
        <w:tc>
          <w:tcPr>
            <w:tcW w:type="dxa" w:w="1200"/>
          </w:tcPr>
          <w:p>
            <w:r>
              <w:t xml:space="preserve">Base</w:t>
            </w:r>
          </w:p>
        </w:tc>
        <w:tc>
          <w:tcPr>
            <w:tcW w:type="dxa" w:w="1200"/>
          </w:tcPr>
          <w:p>
            <w:r>
              <w:t xml:space="preserve">+18%</w:t>
            </w:r>
          </w:p>
        </w:tc>
        <w:tc>
          <w:tcPr>
            <w:tcW w:type="dxa" w:w="1200"/>
          </w:tcPr>
          <w:p>
            <w:r>
              <w:t xml:space="preserve">10% → 4%</w:t>
            </w:r>
          </w:p>
        </w:tc>
        <w:tc>
          <w:tcPr>
            <w:tcW w:type="dxa" w:w="1200"/>
          </w:tcPr>
          <w:p>
            <w:r>
              <w:t xml:space="preserve">14.0% → 12.5% (≈ 18.4% → 16.4% EBIT)</w:t>
            </w:r>
          </w:p>
        </w:tc>
        <w:tc>
          <w:tcPr>
            <w:tcW w:type="dxa" w:w="1200"/>
          </w:tcPr>
          <w:p>
            <w:r>
              <w:t xml:space="preserve">$9.61B</w:t>
            </w:r>
          </w:p>
        </w:tc>
        <w:tc>
          <w:tcPr>
            <w:tcW w:type="dxa" w:w="1200"/>
          </w:tcPr>
          <w:p>
            <w:r>
              <w:t xml:space="preserve">$1,201M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$273.11</w:t>
            </w:r>
          </w:p>
        </w:tc>
        <w:tc>
          <w:tcPr>
            <w:tcW w:type="dxa" w:w="1200"/>
          </w:tcPr>
          <w:p>
            <w:r>
              <w:t xml:space="preserve">€239.78</w:t>
            </w:r>
          </w:p>
        </w:tc>
        <w:tc>
          <w:tcPr>
            <w:tcW w:type="dxa" w:w="1200"/>
          </w:tcPr>
          <w:p>
            <w:r>
              <w:t xml:space="preserve">~$222</w:t>
            </w:r>
          </w:p>
        </w:tc>
      </w:tr>
      <w:tr>
        <w:tc>
          <w:tcPr>
            <w:tcW w:type="dxa" w:w="1200"/>
          </w:tcPr>
          <w:p>
            <w:r>
              <w:t xml:space="preserve">Bull</w:t>
            </w:r>
          </w:p>
        </w:tc>
        <w:tc>
          <w:tcPr>
            <w:tcW w:type="dxa" w:w="1200"/>
          </w:tcPr>
          <w:p>
            <w:r>
              <w:t xml:space="preserve">+25%</w:t>
            </w:r>
          </w:p>
        </w:tc>
        <w:tc>
          <w:tcPr>
            <w:tcW w:type="dxa" w:w="1200"/>
          </w:tcPr>
          <w:p>
            <w:r>
              <w:t xml:space="preserve">15% → 4.5%</w:t>
            </w:r>
          </w:p>
        </w:tc>
        <w:tc>
          <w:tcPr>
            <w:tcW w:type="dxa" w:w="1200"/>
          </w:tcPr>
          <w:p>
            <w:r>
              <w:t xml:space="preserve">15.0% → 14.0% (≈ 19.7% → 18.4% EBIT)</w:t>
            </w:r>
          </w:p>
        </w:tc>
        <w:tc>
          <w:tcPr>
            <w:tcW w:type="dxa" w:w="1200"/>
          </w:tcPr>
          <w:p>
            <w:r>
              <w:t xml:space="preserve">$13.51B</w:t>
            </w:r>
          </w:p>
        </w:tc>
        <w:tc>
          <w:tcPr>
            <w:tcW w:type="dxa" w:w="1200"/>
          </w:tcPr>
          <w:p>
            <w:r>
              <w:t xml:space="preserve">$1,892M</w:t>
            </w:r>
          </w:p>
        </w:tc>
        <w:tc>
          <w:tcPr>
            <w:tcW w:type="dxa" w:w="1200"/>
          </w:tcPr>
          <w:p>
            <w:r>
              <w:rPr>
                <w:b/>
                <w:bCs/>
              </w:rPr>
              <w:t xml:space="preserve">$394.09</w:t>
            </w:r>
          </w:p>
        </w:tc>
        <w:tc>
          <w:tcPr>
            <w:tcW w:type="dxa" w:w="1200"/>
          </w:tcPr>
          <w:p>
            <w:r>
              <w:t xml:space="preserve">€345.99</w:t>
            </w:r>
          </w:p>
        </w:tc>
        <w:tc>
          <w:tcPr>
            <w:tcW w:type="dxa" w:w="1200"/>
          </w:tcPr>
          <w:p>
            <w:r>
              <w:t xml:space="preserve">~$315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Terminal value is 59% of EV (Base).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MoS Gate: NONE.</w:t>
      </w:r>
      <w:r>
        <w:t xml:space="preserve"> $513.72 &gt; Bull $394.09. </w:t>
      </w:r>
      <w:r>
        <w:rPr>
          <w:b/>
          <w:bCs/>
        </w:rPr>
        <w:t xml:space="preserve">Priced for perfection.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Exit-multiple cross-check (Method 2):</w:t>
      </w:r>
    </w:p>
    <w:p>
      <w:r>
        <w:t xml:space="preserve">  - Base implies only ~7.0× year-10 EBITDA.</w:t>
      </w:r>
    </w:p>
    <w:p>
      <w:r>
        <w:t xml:space="preserve">  - At a ~14× E&amp;C peer multiple, Base becomes ≈$431. That is a &gt;30% divergence, so it was re-examined.</w:t>
      </w:r>
    </w:p>
    <w:p>
      <w:r>
        <w:t xml:space="preserve">  - The gap comes from the Key-Value-Driver terminal (ROIC fading to 15%, g 3%, at 10.5%) against today's elevated peer multiples, which are themselves inside the Stage-3 AI-infrastructure re-rating.</w:t>
      </w:r>
    </w:p>
    <w:p>
      <w:r>
        <w:t xml:space="preserve">  - </w:t>
      </w:r>
      <w:r>
        <w:rPr>
          <w:b/>
          <w:bCs/>
        </w:rPr>
        <w:t xml:space="preserve">Even on the peer multiple, Base is ~16% below the price.</w:t>
      </w:r>
    </w:p>
    <w:p>
      <w:r>
        <w:rPr>
          <w:b/>
          <w:bCs/>
        </w:rPr>
        <w:t xml:space="preserve">Sensitivity (Benninga), Base case — WACC × terminal g: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WACC \ g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1%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2%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3%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4%</w:t>
            </w:r>
          </w:p>
        </w:tc>
      </w:tr>
      <w:tr>
        <w:tc>
          <w:tcPr>
            <w:tcW w:type="dxa" w:w="2160"/>
          </w:tcPr>
          <w:p>
            <w:r>
              <w:t xml:space="preserve">8.5%</w:t>
            </w:r>
          </w:p>
        </w:tc>
        <w:tc>
          <w:tcPr>
            <w:tcW w:type="dxa" w:w="2160"/>
          </w:tcPr>
          <w:p>
            <w:r>
              <w:t xml:space="preserve">$344.76</w:t>
            </w:r>
          </w:p>
        </w:tc>
        <w:tc>
          <w:tcPr>
            <w:tcW w:type="dxa" w:w="2160"/>
          </w:tcPr>
          <w:p>
            <w:r>
              <w:t xml:space="preserve">$362.65</w:t>
            </w:r>
          </w:p>
        </w:tc>
        <w:tc>
          <w:tcPr>
            <w:tcW w:type="dxa" w:w="2160"/>
          </w:tcPr>
          <w:p>
            <w:r>
              <w:t xml:space="preserve">$386.63</w:t>
            </w:r>
          </w:p>
        </w:tc>
        <w:tc>
          <w:tcPr>
            <w:tcW w:type="dxa" w:w="2160"/>
          </w:tcPr>
          <w:p>
            <w:r>
              <w:t xml:space="preserve">$420.76</w:t>
            </w:r>
          </w:p>
        </w:tc>
      </w:tr>
      <w:tr>
        <w:tc>
          <w:tcPr>
            <w:tcW w:type="dxa" w:w="2160"/>
          </w:tcPr>
          <w:p>
            <w:r>
              <w:t xml:space="preserve">9.5%</w:t>
            </w:r>
          </w:p>
        </w:tc>
        <w:tc>
          <w:tcPr>
            <w:tcW w:type="dxa" w:w="2160"/>
          </w:tcPr>
          <w:p>
            <w:r>
              <w:t xml:space="preserve">$295.81</w:t>
            </w:r>
          </w:p>
        </w:tc>
        <w:tc>
          <w:tcPr>
            <w:tcW w:type="dxa" w:w="2160"/>
          </w:tcPr>
          <w:p>
            <w:r>
              <w:t xml:space="preserve">$306.84</w:t>
            </w:r>
          </w:p>
        </w:tc>
        <w:tc>
          <w:tcPr>
            <w:tcW w:type="dxa" w:w="2160"/>
          </w:tcPr>
          <w:p>
            <w:r>
              <w:t xml:space="preserve">$320.94</w:t>
            </w:r>
          </w:p>
        </w:tc>
        <w:tc>
          <w:tcPr>
            <w:tcW w:type="dxa" w:w="2160"/>
          </w:tcPr>
          <w:p>
            <w:r>
              <w:t xml:space="preserve">$339.78</w:t>
            </w:r>
          </w:p>
        </w:tc>
      </w:tr>
      <w:tr>
        <w:tc>
          <w:tcPr>
            <w:tcW w:type="dxa" w:w="2160"/>
          </w:tcPr>
          <w:p>
            <w:r>
              <w:t xml:space="preserve">10.5%</w:t>
            </w:r>
          </w:p>
        </w:tc>
        <w:tc>
          <w:tcPr>
            <w:tcW w:type="dxa" w:w="2160"/>
          </w:tcPr>
          <w:p>
            <w:r>
              <w:t xml:space="preserve">$257.73</w:t>
            </w:r>
          </w:p>
        </w:tc>
        <w:tc>
          <w:tcPr>
            <w:tcW w:type="dxa" w:w="2160"/>
          </w:tcPr>
          <w:p>
            <w:r>
              <w:t xml:space="preserve">$264.63</w:t>
            </w:r>
          </w:p>
        </w:tc>
        <w:tc>
          <w:tcPr>
            <w:tcW w:type="dxa" w:w="2160"/>
          </w:tcPr>
          <w:p>
            <w:r>
              <w:rPr>
                <w:b/>
                <w:bCs/>
              </w:rPr>
              <w:t xml:space="preserve">$273.11</w:t>
            </w:r>
          </w:p>
        </w:tc>
        <w:tc>
          <w:tcPr>
            <w:tcW w:type="dxa" w:w="2160"/>
          </w:tcPr>
          <w:p>
            <w:r>
              <w:t xml:space="preserve">$283.91</w:t>
            </w:r>
          </w:p>
        </w:tc>
      </w:tr>
      <w:tr>
        <w:tc>
          <w:tcPr>
            <w:tcW w:type="dxa" w:w="2160"/>
          </w:tcPr>
          <w:p>
            <w:r>
              <w:t xml:space="preserve">11.5%</w:t>
            </w:r>
          </w:p>
        </w:tc>
        <w:tc>
          <w:tcPr>
            <w:tcW w:type="dxa" w:w="2160"/>
          </w:tcPr>
          <w:p>
            <w:r>
              <w:t xml:space="preserve">$227.37</w:t>
            </w:r>
          </w:p>
        </w:tc>
        <w:tc>
          <w:tcPr>
            <w:tcW w:type="dxa" w:w="2160"/>
          </w:tcPr>
          <w:p>
            <w:r>
              <w:t xml:space="preserve">$231.69</w:t>
            </w:r>
          </w:p>
        </w:tc>
        <w:tc>
          <w:tcPr>
            <w:tcW w:type="dxa" w:w="2160"/>
          </w:tcPr>
          <w:p>
            <w:r>
              <w:t xml:space="preserve">$236.83</w:t>
            </w:r>
          </w:p>
        </w:tc>
        <w:tc>
          <w:tcPr>
            <w:tcW w:type="dxa" w:w="2160"/>
          </w:tcPr>
          <w:p>
            <w:r>
              <w:t xml:space="preserve">$243.10</w:t>
            </w:r>
          </w:p>
        </w:tc>
      </w:tr>
    </w:tbl>
    <w:p>
      <w:r>
        <w:rPr>
          <w:b/>
          <w:bCs/>
        </w:rPr>
        <w:t xml:space="preserve">Growth multiplier × NOPLAT margin shift</w:t>
      </w:r>
      <w:r>
        <w:t xml:space="preserve"> (WACC 10.5%):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Growth \ margin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−300bp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−150bp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Base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+200bp</w:t>
            </w:r>
          </w:p>
        </w:tc>
      </w:tr>
      <w:tr>
        <w:tc>
          <w:tcPr>
            <w:tcW w:type="dxa" w:w="2160"/>
          </w:tcPr>
          <w:p>
            <w:r>
              <w:t xml:space="preserve">×0.7</w:t>
            </w:r>
          </w:p>
        </w:tc>
        <w:tc>
          <w:tcPr>
            <w:tcW w:type="dxa" w:w="2160"/>
          </w:tcPr>
          <w:p>
            <w:r>
              <w:t xml:space="preserve">$183.25</w:t>
            </w:r>
          </w:p>
        </w:tc>
        <w:tc>
          <w:tcPr>
            <w:tcW w:type="dxa" w:w="2160"/>
          </w:tcPr>
          <w:p>
            <w:r>
              <w:t xml:space="preserve">$210.86</w:t>
            </w:r>
          </w:p>
        </w:tc>
        <w:tc>
          <w:tcPr>
            <w:tcW w:type="dxa" w:w="2160"/>
          </w:tcPr>
          <w:p>
            <w:r>
              <w:t xml:space="preserve">$238.47</w:t>
            </w:r>
          </w:p>
        </w:tc>
        <w:tc>
          <w:tcPr>
            <w:tcW w:type="dxa" w:w="2160"/>
          </w:tcPr>
          <w:p>
            <w:r>
              <w:t xml:space="preserve">$275.29</w:t>
            </w:r>
          </w:p>
        </w:tc>
      </w:tr>
      <w:tr>
        <w:tc>
          <w:tcPr>
            <w:tcW w:type="dxa" w:w="2160"/>
          </w:tcPr>
          <w:p>
            <w:r>
              <w:t xml:space="preserve">×1.0</w:t>
            </w:r>
          </w:p>
        </w:tc>
        <w:tc>
          <w:tcPr>
            <w:tcW w:type="dxa" w:w="2160"/>
          </w:tcPr>
          <w:p>
            <w:r>
              <w:t xml:space="preserve">$209.47</w:t>
            </w:r>
          </w:p>
        </w:tc>
        <w:tc>
          <w:tcPr>
            <w:tcW w:type="dxa" w:w="2160"/>
          </w:tcPr>
          <w:p>
            <w:r>
              <w:t xml:space="preserve">$241.29</w:t>
            </w:r>
          </w:p>
        </w:tc>
        <w:tc>
          <w:tcPr>
            <w:tcW w:type="dxa" w:w="2160"/>
          </w:tcPr>
          <w:p>
            <w:r>
              <w:t xml:space="preserve">$273.11</w:t>
            </w:r>
          </w:p>
        </w:tc>
        <w:tc>
          <w:tcPr>
            <w:tcW w:type="dxa" w:w="2160"/>
          </w:tcPr>
          <w:p>
            <w:r>
              <w:t xml:space="preserve">$315.54</w:t>
            </w:r>
          </w:p>
        </w:tc>
      </w:tr>
      <w:tr>
        <w:tc>
          <w:tcPr>
            <w:tcW w:type="dxa" w:w="2160"/>
          </w:tcPr>
          <w:p>
            <w:r>
              <w:t xml:space="preserve">×1.3</w:t>
            </w:r>
          </w:p>
        </w:tc>
        <w:tc>
          <w:tcPr>
            <w:tcW w:type="dxa" w:w="2160"/>
          </w:tcPr>
          <w:p>
            <w:r>
              <w:t xml:space="preserve">$240.47</w:t>
            </w:r>
          </w:p>
        </w:tc>
        <w:tc>
          <w:tcPr>
            <w:tcW w:type="dxa" w:w="2160"/>
          </w:tcPr>
          <w:p>
            <w:r>
              <w:t xml:space="preserve">$277.28</w:t>
            </w:r>
          </w:p>
        </w:tc>
        <w:tc>
          <w:tcPr>
            <w:tcW w:type="dxa" w:w="2160"/>
          </w:tcPr>
          <w:p>
            <w:r>
              <w:t xml:space="preserve">$314.09</w:t>
            </w:r>
          </w:p>
        </w:tc>
        <w:tc>
          <w:tcPr>
            <w:tcW w:type="dxa" w:w="2160"/>
          </w:tcPr>
          <w:p>
            <w:r>
              <w:t xml:space="preserve">$363.16</w:t>
            </w:r>
          </w:p>
        </w:tc>
      </w:tr>
    </w:tbl>
    <w:p>
      <w:r>
        <w:t xml:space="preserve">No cell reaches $513.72. Only the Bull scenario at an 8.5% WACC gets close.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r>
        <w:rPr>
          <w:b/>
          <w:bCs/>
        </w:rPr>
        <w:t xml:space="preserve">What the price needs:</w:t>
      </w:r>
      <w:r>
        <w:t xml:space="preserve"> at a steady 14% NOPLAT margin, a 5-year revenue CAGR of: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WACC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Implied 5-yr CAGR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Revenue by 2031</w:t>
            </w:r>
          </w:p>
        </w:tc>
      </w:tr>
      <w:tr>
        <w:tc>
          <w:tcPr>
            <w:tcW w:type="dxa" w:w="3600"/>
          </w:tcPr>
          <w:p>
            <w:r>
              <w:t xml:space="preserve">9.5%</w:t>
            </w:r>
          </w:p>
        </w:tc>
        <w:tc>
          <w:tcPr>
            <w:tcW w:type="dxa" w:w="3600"/>
          </w:tcPr>
          <w:p>
            <w:r>
              <w:t xml:space="preserve">20.2%</w:t>
            </w:r>
          </w:p>
        </w:tc>
        <w:tc>
          <w:tcPr>
            <w:tcW w:type="dxa" w:w="3600"/>
          </w:tcPr>
          <w:p>
            <w:r>
              <w:t xml:space="preserve">$10.2B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10.5%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25.0%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$12.5B</w:t>
            </w:r>
          </w:p>
        </w:tc>
      </w:tr>
      <w:tr>
        <w:tc>
          <w:tcPr>
            <w:tcW w:type="dxa" w:w="3600"/>
          </w:tcPr>
          <w:p>
            <w:r>
              <w:t xml:space="preserve">12%</w:t>
            </w:r>
          </w:p>
        </w:tc>
        <w:tc>
          <w:tcPr>
            <w:tcW w:type="dxa" w:w="3600"/>
          </w:tcPr>
          <w:p>
            <w:r>
              <w:t xml:space="preserve">32.7%</w:t>
            </w:r>
          </w:p>
        </w:tc>
        <w:tc>
          <w:tcPr>
            <w:tcW w:type="dxa" w:w="3600"/>
          </w:tcPr>
          <w:p>
            <w:r>
              <w:t xml:space="preserve">$16.8B</w:t>
            </w:r>
          </w:p>
        </w:tc>
      </w:tr>
    </w:tbl>
    <w:p>
      <w:r>
        <w:rPr>
          <w:b/>
          <w:bCs/>
        </w:rPr>
        <w:t xml:space="preserve">Against the base rate:</w:t>
      </w:r>
    </w:p>
    <w:p>
      <w:pPr>
        <w:pStyle w:val="ListParagraph"/>
        <w:numPr>
          <w:ilvl w:val="0"/>
          <w:numId w:val="1"/>
        </w:numPr>
      </w:pPr>
      <w:r>
        <w:t xml:space="preserve">Companies growing 20–30% typically grow ~12–15% the next year. Sustaining 25% for 5 years is </w:t>
      </w:r>
      <w:r>
        <w:rPr>
          <w:b/>
          <w:bCs/>
        </w:rPr>
        <w:t xml:space="preserve">~1.7–2× the base rate</w:t>
      </w:r>
      <w:r>
        <w:t xml:space="preserve">: the Mauboussin "priced for perfection" band.</w:t>
      </w:r>
    </w:p>
    <w:p>
      <w:pPr>
        <w:pStyle w:val="ListParagraph"/>
        <w:numPr>
          <w:ilvl w:val="0"/>
          <w:numId w:val="1"/>
        </w:numPr>
      </w:pPr>
      <w:r>
        <w:t xml:space="preserve">Consensus already sits near the optimistic scenario (FY27 EPS $25.40, +27%). There is no information edge in the base case.</w:t>
      </w:r>
    </w:p>
    <w:p>
      <w:r>
        <w:rPr>
          <w:b/>
          <w:bCs/>
        </w:rPr>
        <w:t xml:space="preserve">What has to be true:</w:t>
      </w:r>
    </w:p>
    <w:p>
      <w:r>
        <w:t xml:space="preserve">1. Hyperscaler and fab site-development spend keeps compounding at 20%+ for five years, with no capex digestion.</w:t>
      </w:r>
    </w:p>
    <w:p>
      <w:r>
        <w:t xml:space="preserve">2. Sterling adds capacity (people, equipment, acquisitions) without the incremental-margin dilution the FY26 guide already shows.</w:t>
      </w:r>
    </w:p>
    <w:p>
      <w:r>
        <w:t xml:space="preserve">3. The ~15%+ ROIC is sustained as the business scales 3×.</w:t>
      </w:r>
    </w:p>
    <w:p>
      <w:r>
        <w:rPr>
          <w:b/>
          <w:bCs/>
        </w:rPr>
        <w:t xml:space="preserve">Moat and CAP:</w:t>
      </w:r>
    </w:p>
    <w:p>
      <w:pPr>
        <w:pStyle w:val="ListParagraph"/>
        <w:numPr>
          <w:ilvl w:val="0"/>
          <w:numId w:val="1"/>
        </w:numPr>
      </w:pPr>
      <w:r>
        <w:t xml:space="preserve">Efficient scale and relationships: regional crews, equipment fleets, hyperscaler/GC trust and speed on mega-sites.</w:t>
      </w:r>
    </w:p>
    <w:p>
      <w:pPr>
        <w:pStyle w:val="ListParagraph"/>
        <w:numPr>
          <w:ilvl w:val="0"/>
          <w:numId w:val="1"/>
        </w:numPr>
      </w:pPr>
      <w:r>
        <w:t xml:space="preserve">These are real but replicable. There are no network effects or contractual switching costs.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Narrow moat; CAP ~3–7 years.</w:t>
      </w:r>
      <w:r>
        <w:t xml:space="preserve"> Earned for now, but tied to one end-market cycle.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 Market growth potential:</w:t>
      </w:r>
      <w:r>
        <w:t xml:space="preserve"> strongly positive near term (signed backlog +116%, book-to-burn 1.4×). Concentrated in one theme.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#5/#6 Margins:</w:t>
      </w:r>
    </w:p>
    <w:p>
      <w:r>
        <w:t xml:space="preserve">  - Positive history: gross margin 15.5% → 24.8%.</w:t>
      </w:r>
    </w:p>
    <w:p>
      <w:r>
        <w:t xml:space="preserve">  - Negative forward read: the E-Infrastructure margin fell 3.7pp YoY and the guide implies a ~14% incremental EBITDA margin.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#11 Competitive edge:</w:t>
      </w:r>
      <w:r>
        <w:t xml:space="preserve"> moderate. Execution reputation on mega-site work. Transportation is shrinking (−20%) by design, a mix shift toward higher-margin work.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#13 Equity financing:</w:t>
      </w:r>
      <w:r>
        <w:t xml:space="preserve"> positive. There is none needed; acquisitions are funded mostly with cash and a small stock component.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#14/#15 Disclosure and integrity:</w:t>
      </w:r>
    </w:p>
    <w:p>
      <w:r>
        <w:t xml:space="preserve">  - Positive. Management was open that *capacity* is the bottleneck.</w:t>
      </w:r>
    </w:p>
    <w:p>
      <w:r>
        <w:t xml:space="preserve">  - The CEO's 40,000-share transfer was a gift to family trusts, not a sale. No integrity flags.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shd w:fill="D9D9D9" w:val="clear"/>
          </w:tcPr>
          <w:p>
            <w:r>
              <w:t xml:space="preserve">Factor</w:t>
            </w:r>
          </w:p>
        </w:tc>
        <w:tc>
          <w:tcPr>
            <w:tcW w:type="dxa" w:w="5400"/>
            <w:shd w:fill="D9D9D9" w:val="clear"/>
          </w:tcPr>
          <w:p>
            <w:r>
              <w:t xml:space="preserve">Read</w:t>
            </w:r>
          </w:p>
        </w:tc>
      </w:tr>
      <w:tr>
        <w:tc>
          <w:tcPr>
            <w:tcW w:type="dxa" w:w="5400"/>
          </w:tcPr>
          <w:p>
            <w:r>
              <w:t xml:space="preserve">Value</w:t>
            </w:r>
          </w:p>
        </w:tc>
        <w:tc>
          <w:tcPr>
            <w:tcW w:type="dxa" w:w="5400"/>
          </w:tcPr>
          <w:p>
            <w:r>
              <w:t xml:space="preserve">Absent. ~25.7× FY26 adj. EPS; EV/EBITDA ~17.3× on the FY26 guide (22× TTM); P/B 11.6×</w:t>
            </w:r>
          </w:p>
        </w:tc>
      </w:tr>
      <w:tr>
        <w:tc>
          <w:tcPr>
            <w:tcW w:type="dxa" w:w="5400"/>
          </w:tcPr>
          <w:p>
            <w:r>
              <w:t xml:space="preserve">Quality</w:t>
            </w:r>
          </w:p>
        </w:tc>
        <w:tc>
          <w:tcPr>
            <w:tcW w:type="dxa" w:w="5400"/>
          </w:tcPr>
          <w:p>
            <w:r>
              <w:rPr>
                <w:b/>
                <w:bCs/>
              </w:rPr>
              <w:t xml:space="preserve">Strongly present.</w:t>
            </w:r>
            <w:r>
              <w:t xml:space="preserve"> ROIC 22%, net cash, FCF &gt; net income, rising margins</w:t>
            </w:r>
          </w:p>
        </w:tc>
      </w:tr>
      <w:tr>
        <w:tc>
          <w:tcPr>
            <w:tcW w:type="dxa" w:w="5400"/>
          </w:tcPr>
          <w:p>
            <w:r>
              <w:t xml:space="preserve">Momentum</w:t>
            </w:r>
          </w:p>
        </w:tc>
        <w:tc>
          <w:tcPr>
            <w:tcW w:type="dxa" w:w="5400"/>
          </w:tcPr>
          <w:p>
            <w:r>
              <w:t xml:space="preserve">Broken. 12-1 month +34%, but −42% over 3 months; below the 200-day average</w:t>
            </w:r>
          </w:p>
        </w:tc>
      </w:tr>
      <w:tr>
        <w:tc>
          <w:tcPr>
            <w:tcW w:type="dxa" w:w="5400"/>
          </w:tcPr>
          <w:p>
            <w:r>
              <w:t xml:space="preserve">Low Beta</w:t>
            </w:r>
          </w:p>
        </w:tc>
        <w:tc>
          <w:tcPr>
            <w:tcW w:type="dxa" w:w="5400"/>
          </w:tcPr>
          <w:p>
            <w:r>
              <w:t xml:space="preserve">Absent. Beta 1.85</w:t>
            </w:r>
          </w:p>
        </w:tc>
      </w:tr>
    </w:tbl>
    <w:p>
      <w:r>
        <w:rPr>
          <w:b/>
          <w:bCs/>
        </w:rPr>
        <w:t xml:space="preserve">Net:</w:t>
      </w:r>
      <w:r>
        <w:t xml:space="preserve"> a single-factor (quality) name whose momentum has rolled over, at a non-value price.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Criterion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Result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Evidence</w:t>
            </w:r>
          </w:p>
        </w:tc>
      </w:tr>
      <w:tr>
        <w:tc>
          <w:tcPr>
            <w:tcW w:type="dxa" w:w="3600"/>
          </w:tcPr>
          <w:p>
            <w:r>
              <w:t xml:space="preserve">ROIC 5-yr avg &gt; 15%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13.5 / 16.3 / 18.2 / 22.4% FY22–25 (avg ~17.6%)</w:t>
            </w:r>
          </w:p>
        </w:tc>
      </w:tr>
      <w:tr>
        <w:tc>
          <w:tcPr>
            <w:tcW w:type="dxa" w:w="3600"/>
          </w:tcPr>
          <w:p>
            <w:r>
              <w:t xml:space="preserve">ROIC trend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Up every year</w:t>
            </w:r>
          </w:p>
        </w:tc>
      </w:tr>
      <w:tr>
        <w:tc>
          <w:tcPr>
            <w:tcW w:type="dxa" w:w="3600"/>
          </w:tcPr>
          <w:p>
            <w:r>
              <w:t xml:space="preserve">Operating margin &gt; 15%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16.6% FY25; ~18.1% TTM</w:t>
            </w:r>
          </w:p>
        </w:tc>
      </w:tr>
      <w:tr>
        <w:tc>
          <w:tcPr>
            <w:tcW w:type="dxa" w:w="3600"/>
          </w:tcPr>
          <w:p>
            <w:r>
              <w:t xml:space="preserve">FCF conversion &gt; 80%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FY25 FCF $362.7M / NI $290.2M = 125%</w:t>
            </w:r>
          </w:p>
        </w:tc>
      </w:tr>
      <w:tr>
        <w:tc>
          <w:tcPr>
            <w:tcW w:type="dxa" w:w="3600"/>
          </w:tcPr>
          <w:p>
            <w:r>
              <w:t xml:space="preserve">CapEx/revenue &lt; 10%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3.1% FY25</w:t>
            </w:r>
          </w:p>
        </w:tc>
      </w:tr>
      <w:tr>
        <w:tc>
          <w:tcPr>
            <w:tcW w:type="dxa" w:w="3600"/>
          </w:tcPr>
          <w:p>
            <w:r>
              <w:t xml:space="preserve">Self-funded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Shares flat; no operating equity raises</w:t>
            </w:r>
          </w:p>
        </w:tc>
      </w:tr>
      <w:tr>
        <w:tc>
          <w:tcPr>
            <w:tcW w:type="dxa" w:w="3600"/>
          </w:tcPr>
          <w:p>
            <w:r>
              <w:t xml:space="preserve">Management ownership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Insiders ~2.3%; CEO a significant holder (40,000-share gift alone ≈ $20M)</w:t>
            </w:r>
          </w:p>
        </w:tc>
      </w:tr>
      <w:tr>
        <w:tc>
          <w:tcPr>
            <w:tcW w:type="dxa" w:w="3600"/>
          </w:tcPr>
          <w:p>
            <w:r>
              <w:t xml:space="preserve">Buyback discipline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$70.6M FY24 and $74.2M FY25 at prices well below today's</w:t>
            </w:r>
          </w:p>
        </w:tc>
      </w:tr>
      <w:tr>
        <w:tc>
          <w:tcPr>
            <w:tcW w:type="dxa" w:w="3600"/>
          </w:tcPr>
          <w:p>
            <w:r>
              <w:t xml:space="preserve">M&amp;A discipline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Goodwill+intangibles $1,140M = </w:t>
            </w:r>
            <w:r>
              <w:rPr>
                <w:b/>
                <w:bCs/>
              </w:rPr>
              <w:t xml:space="preserve">43.3% of FY25 assets</w:t>
            </w:r>
            <w:r>
              <w:t xml:space="preserve"> (&gt;40% flag). CEC closed at $561.6M vs $505M announced</w:t>
            </w:r>
          </w:p>
        </w:tc>
      </w:tr>
    </w:tbl>
    <w:p>
      <w:r>
        <w:rPr>
          <w:b/>
          <w:bCs/>
        </w:rPr>
        <w:t xml:space="preserve">8/9 → COMPOUNDER (business).</w:t>
      </w:r>
      <w:r>
        <w:t xml:space="preserve"> Gated by MoS NONE → </w:t>
      </w:r>
      <w:r>
        <w:rPr>
          <w:b/>
          <w:bCs/>
        </w:rPr>
        <w:t xml:space="preserve">WATCH</w:t>
      </w:r>
      <w:r>
        <w:t xml:space="preserve"> at today's price.</w:t>
      </w:r>
    </w:p>
    <w:p>
      <w:r>
        <w:rPr>
          <w:b/>
          <w:bCs/>
        </w:rPr>
        <w:t xml:space="preserve">Capital allocation (Thorndike):</w:t>
      </w:r>
    </w:p>
    <w:p>
      <w:pPr>
        <w:pStyle w:val="ListParagraph"/>
        <w:numPr>
          <w:ilvl w:val="0"/>
          <w:numId w:val="1"/>
        </w:numPr>
      </w:pPr>
      <w:r>
        <w:t xml:space="preserve">Reinvestment at high ROIC: good.</w:t>
      </w:r>
    </w:p>
    <w:p>
      <w:pPr>
        <w:pStyle w:val="ListParagraph"/>
        <w:numPr>
          <w:ilvl w:val="0"/>
          <w:numId w:val="1"/>
        </w:numPr>
      </w:pPr>
      <w:r>
        <w:t xml:space="preserve">Buybacks at lower prices: good.</w:t>
      </w:r>
    </w:p>
    <w:p>
      <w:pPr>
        <w:pStyle w:val="ListParagraph"/>
        <w:numPr>
          <w:ilvl w:val="0"/>
          <w:numId w:val="1"/>
        </w:numPr>
      </w:pPr>
      <w:r>
        <w:t xml:space="preserve">Debt paid down to net cash: good.</w:t>
      </w:r>
    </w:p>
    <w:p>
      <w:pPr>
        <w:pStyle w:val="ListParagraph"/>
        <w:numPr>
          <w:ilvl w:val="0"/>
          <w:numId w:val="1"/>
        </w:numPr>
      </w:pPr>
      <w:r>
        <w:t xml:space="preserve">M&amp;A pace is the watch item: two deals in 9 months plus a $1.5B facility.</w:t>
      </w:r>
    </w:p>
    <w:p>
      <w:pPr>
        <w:pStyle w:val="Heading2"/>
        <w:spacing w:after="120" w:before="240"/>
      </w:pPr>
      <w:r>
        <w:t xml:space="preserve">10. Sector Appendix — Industrials (Engineering &amp; Construction)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Current 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Read</w:t>
            </w:r>
          </w:p>
        </w:tc>
      </w:tr>
      <w:tr>
        <w:tc>
          <w:tcPr>
            <w:tcW w:type="dxa" w:w="3600"/>
          </w:tcPr>
          <w:p>
            <w:r>
              <w:t xml:space="preserve">EV/EBITDA</w:t>
            </w:r>
          </w:p>
        </w:tc>
        <w:tc>
          <w:tcPr>
            <w:tcW w:type="dxa" w:w="3600"/>
          </w:tcPr>
          <w:p>
            <w:r>
              <w:t xml:space="preserve">~17.3× FY26 guide; 22.0× TTM</w:t>
            </w:r>
          </w:p>
        </w:tc>
        <w:tc>
          <w:tcPr>
            <w:tcW w:type="dxa" w:w="3600"/>
          </w:tcPr>
          <w:p>
            <w:r>
              <w:t xml:space="preserve">Above the 10–14× "quality" band; TTM &gt; 18× flag</w:t>
            </w:r>
          </w:p>
        </w:tc>
      </w:tr>
      <w:tr>
        <w:tc>
          <w:tcPr>
            <w:tcW w:type="dxa" w:w="3600"/>
          </w:tcPr>
          <w:p>
            <w:r>
              <w:t xml:space="preserve">ROIC</w:t>
            </w:r>
          </w:p>
        </w:tc>
        <w:tc>
          <w:tcPr>
            <w:tcW w:type="dxa" w:w="3600"/>
          </w:tcPr>
          <w:p>
            <w:r>
              <w:t xml:space="preserve">22.4% (FY25)</w:t>
            </w:r>
          </w:p>
        </w:tc>
        <w:tc>
          <w:tcPr>
            <w:tcW w:type="dxa" w:w="3600"/>
          </w:tcPr>
          <w:p>
            <w:r>
              <w:t xml:space="preserve">Strong (&gt; 15%)</w:t>
            </w:r>
          </w:p>
        </w:tc>
      </w:tr>
      <w:tr>
        <w:tc>
          <w:tcPr>
            <w:tcW w:type="dxa" w:w="3600"/>
          </w:tcPr>
          <w:p>
            <w:r>
              <w:t xml:space="preserve">Book-to-bill (book-to-burn)</w:t>
            </w:r>
          </w:p>
        </w:tc>
        <w:tc>
          <w:tcPr>
            <w:tcW w:type="dxa" w:w="3600"/>
          </w:tcPr>
          <w:p>
            <w:r>
              <w:t xml:space="preserve">1.4× signed / 1.3× combined</w:t>
            </w:r>
          </w:p>
        </w:tc>
        <w:tc>
          <w:tcPr>
            <w:tcW w:type="dxa" w:w="3600"/>
          </w:tcPr>
          <w:p>
            <w:r>
              <w:t xml:space="preserve">Strong (&gt; 1.1)</w:t>
            </w:r>
          </w:p>
        </w:tc>
      </w:tr>
      <w:tr>
        <w:tc>
          <w:tcPr>
            <w:tcW w:type="dxa" w:w="3600"/>
          </w:tcPr>
          <w:p>
            <w:r>
              <w:t xml:space="preserve">Backlog / annual revenue</w:t>
            </w:r>
          </w:p>
        </w:tc>
        <w:tc>
          <w:tcPr>
            <w:tcW w:type="dxa" w:w="3600"/>
          </w:tcPr>
          <w:p>
            <w:r>
              <w:t xml:space="preserve">$4.33B / $3.44B TTM = 1.26× (1.06× on the FY26 guide)</w:t>
            </w:r>
          </w:p>
        </w:tc>
        <w:tc>
          <w:tcPr>
            <w:tcW w:type="dxa" w:w="3600"/>
          </w:tcPr>
          <w:p>
            <w:r>
              <w:t xml:space="preserve">Acceptable (0.8–1.5×)</w:t>
            </w:r>
          </w:p>
        </w:tc>
      </w:tr>
      <w:tr>
        <w:tc>
          <w:tcPr>
            <w:tcW w:type="dxa" w:w="3600"/>
          </w:tcPr>
          <w:p>
            <w:r>
              <w:t xml:space="preserve">Organic growth</w:t>
            </w:r>
          </w:p>
        </w:tc>
        <w:tc>
          <w:tcPr>
            <w:tcW w:type="dxa" w:w="3600"/>
          </w:tcPr>
          <w:p>
            <w:r>
              <w:t xml:space="preserve">Signed backlog +50% organic</w:t>
            </w:r>
          </w:p>
        </w:tc>
        <w:tc>
          <w:tcPr>
            <w:tcW w:type="dxa" w:w="3600"/>
          </w:tcPr>
          <w:p>
            <w:r>
              <w:t xml:space="preserve">Strong</w:t>
            </w:r>
          </w:p>
        </w:tc>
      </w:tr>
      <w:tr>
        <w:tc>
          <w:tcPr>
            <w:tcW w:type="dxa" w:w="3600"/>
          </w:tcPr>
          <w:p>
            <w:r>
              <w:t xml:space="preserve">EBIT margin</w:t>
            </w:r>
          </w:p>
        </w:tc>
        <w:tc>
          <w:tcPr>
            <w:tcW w:type="dxa" w:w="3600"/>
          </w:tcPr>
          <w:p>
            <w:r>
              <w:t xml:space="preserve">~18.1% TTM</w:t>
            </w:r>
          </w:p>
        </w:tc>
        <w:tc>
          <w:tcPr>
            <w:tcW w:type="dxa" w:w="3600"/>
          </w:tcPr>
          <w:p>
            <w:r>
              <w:t xml:space="preserve">Strong (&gt; 15%)</w:t>
            </w:r>
          </w:p>
        </w:tc>
      </w:tr>
      <w:tr>
        <w:tc>
          <w:tcPr>
            <w:tcW w:type="dxa" w:w="3600"/>
          </w:tcPr>
          <w:p>
            <w:r>
              <w:t xml:space="preserve">Operating leverage</w:t>
            </w:r>
          </w:p>
        </w:tc>
        <w:tc>
          <w:tcPr>
            <w:tcW w:type="dxa" w:w="3600"/>
          </w:tcPr>
          <w:p>
            <w:r>
              <w:t xml:space="preserve">Guide implies ~14% incremental EBITDA margin vs 22%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Flag:</w:t>
            </w:r>
            <w:r>
              <w:t xml:space="preserve"> costs rising faster at the margin (Stone Ridge/CEC mix)</w:t>
            </w:r>
          </w:p>
        </w:tc>
      </w:tr>
      <w:tr>
        <w:tc>
          <w:tcPr>
            <w:tcW w:type="dxa" w:w="3600"/>
          </w:tcPr>
          <w:p>
            <w:r>
              <w:t xml:space="preserve">Aftermarket/service revenue</w:t>
            </w:r>
          </w:p>
        </w:tc>
        <w:tc>
          <w:tcPr>
            <w:tcW w:type="dxa" w:w="3600"/>
          </w:tcPr>
          <w:p>
            <w:r>
              <w:t xml:space="preserve">Not disclosed; project-based model</w:t>
            </w:r>
          </w:p>
        </w:tc>
        <w:tc>
          <w:tcPr>
            <w:tcW w:type="dxa" w:w="3600"/>
          </w:tcPr>
          <w:p>
            <w:r>
              <w:t xml:space="preserve">Likely &lt; 15%, i.e. a pure project-dependency flag [EST]</w:t>
            </w:r>
          </w:p>
        </w:tc>
      </w:tr>
    </w:tbl>
    <w:p>
      <w:pPr>
        <w:pStyle w:val="Heading2"/>
        <w:spacing w:after="120" w:before="240"/>
      </w:pPr>
      <w:r>
        <w:t xml:space="preserve">11. Five-Year Ratio Trend Analysis</w:t>
      </w:r>
    </w:p>
    <w:p>
      <w:r>
        <w:t xml:space="preserve">Only four fiscal years (FY22–FY25) plus TTM are available from the data source (yfinance). FY21 is not available and is not padded.</w:t>
      </w:r>
    </w:p>
    <w:p>
      <w:pPr>
        <w:pStyle w:val="Heading3"/>
        <w:spacing w:after="100" w:before="200"/>
      </w:pPr>
      <w:r>
        <w:t xml:space="preserve">Base Ratio Table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FY2022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FY2023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FY2024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FY2025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TTM</w:t>
            </w:r>
          </w:p>
        </w:tc>
      </w:tr>
      <w:tr>
        <w:tc>
          <w:tcPr>
            <w:tcW w:type="dxa" w:w="1800"/>
          </w:tcPr>
          <w:p>
            <w:r>
              <w:t xml:space="preserve">Revenue</w:t>
            </w:r>
          </w:p>
        </w:tc>
        <w:tc>
          <w:tcPr>
            <w:tcW w:type="dxa" w:w="1800"/>
          </w:tcPr>
          <w:p>
            <w:r>
              <w:t xml:space="preserve">$1,769M</w:t>
            </w:r>
          </w:p>
        </w:tc>
        <w:tc>
          <w:tcPr>
            <w:tcW w:type="dxa" w:w="1800"/>
          </w:tcPr>
          <w:p>
            <w:r>
              <w:t xml:space="preserve">$1,972M</w:t>
            </w:r>
          </w:p>
        </w:tc>
        <w:tc>
          <w:tcPr>
            <w:tcW w:type="dxa" w:w="1800"/>
          </w:tcPr>
          <w:p>
            <w:r>
              <w:t xml:space="preserve">$2,116M</w:t>
            </w:r>
          </w:p>
        </w:tc>
        <w:tc>
          <w:tcPr>
            <w:tcW w:type="dxa" w:w="1800"/>
          </w:tcPr>
          <w:p>
            <w:r>
              <w:t xml:space="preserve">$2,490M</w:t>
            </w:r>
          </w:p>
        </w:tc>
        <w:tc>
          <w:tcPr>
            <w:tcW w:type="dxa" w:w="1800"/>
          </w:tcPr>
          <w:p>
            <w:r>
              <w:t xml:space="preserve">$3,438M</w:t>
            </w:r>
          </w:p>
        </w:tc>
      </w:tr>
      <w:tr>
        <w:tc>
          <w:tcPr>
            <w:tcW w:type="dxa" w:w="1800"/>
          </w:tcPr>
          <w:p>
            <w:r>
              <w:t xml:space="preserve">Revenue growth YoY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+11.5%</w:t>
            </w:r>
          </w:p>
        </w:tc>
        <w:tc>
          <w:tcPr>
            <w:tcW w:type="dxa" w:w="1800"/>
          </w:tcPr>
          <w:p>
            <w:r>
              <w:t xml:space="preserve">+7.3%</w:t>
            </w:r>
          </w:p>
        </w:tc>
        <w:tc>
          <w:tcPr>
            <w:tcW w:type="dxa" w:w="1800"/>
          </w:tcPr>
          <w:p>
            <w:r>
              <w:t xml:space="preserve">+17.7%</w:t>
            </w:r>
          </w:p>
        </w:tc>
        <w:tc>
          <w:tcPr>
            <w:tcW w:type="dxa" w:w="1800"/>
          </w:tcPr>
          <w:p>
            <w:r>
              <w:t xml:space="preserve">+90.1% (latest Q y/y)</w:t>
            </w:r>
          </w:p>
        </w:tc>
      </w:tr>
      <w:tr>
        <w:tc>
          <w:tcPr>
            <w:tcW w:type="dxa" w:w="1800"/>
          </w:tcPr>
          <w:p>
            <w:r>
              <w:t xml:space="preserve">Gross margin</w:t>
            </w:r>
          </w:p>
        </w:tc>
        <w:tc>
          <w:tcPr>
            <w:tcW w:type="dxa" w:w="1800"/>
          </w:tcPr>
          <w:p>
            <w:r>
              <w:t xml:space="preserve">15.5%</w:t>
            </w:r>
          </w:p>
        </w:tc>
        <w:tc>
          <w:tcPr>
            <w:tcW w:type="dxa" w:w="1800"/>
          </w:tcPr>
          <w:p>
            <w:r>
              <w:t xml:space="preserve">17.1%</w:t>
            </w:r>
          </w:p>
        </w:tc>
        <w:tc>
          <w:tcPr>
            <w:tcW w:type="dxa" w:w="1800"/>
          </w:tcPr>
          <w:p>
            <w:r>
              <w:t xml:space="preserve">20.1%</w:t>
            </w:r>
          </w:p>
        </w:tc>
        <w:tc>
          <w:tcPr>
            <w:tcW w:type="dxa" w:w="1800"/>
          </w:tcPr>
          <w:p>
            <w:r>
              <w:t xml:space="preserve">23.0%</w:t>
            </w:r>
          </w:p>
        </w:tc>
        <w:tc>
          <w:tcPr>
            <w:tcW w:type="dxa" w:w="1800"/>
          </w:tcPr>
          <w:p>
            <w:r>
              <w:t xml:space="preserve">23.8%</w:t>
            </w:r>
          </w:p>
        </w:tc>
      </w:tr>
      <w:tr>
        <w:tc>
          <w:tcPr>
            <w:tcW w:type="dxa" w:w="1800"/>
          </w:tcPr>
          <w:p>
            <w:r>
              <w:t xml:space="preserve">EBITDA margin</w:t>
            </w:r>
          </w:p>
        </w:tc>
        <w:tc>
          <w:tcPr>
            <w:tcW w:type="dxa" w:w="1800"/>
          </w:tcPr>
          <w:p>
            <w:r>
              <w:t xml:space="preserve">12.0%</w:t>
            </w:r>
          </w:p>
        </w:tc>
        <w:tc>
          <w:tcPr>
            <w:tcW w:type="dxa" w:w="1800"/>
          </w:tcPr>
          <w:p>
            <w:r>
              <w:t xml:space="preserve">14.1%</w:t>
            </w:r>
          </w:p>
        </w:tc>
        <w:tc>
          <w:tcPr>
            <w:tcW w:type="dxa" w:w="1800"/>
          </w:tcPr>
          <w:p>
            <w:r>
              <w:t xml:space="preserve">21.4% (incl. ~$114M non-op gain)</w:t>
            </w:r>
          </w:p>
        </w:tc>
        <w:tc>
          <w:tcPr>
            <w:tcW w:type="dxa" w:w="1800"/>
          </w:tcPr>
          <w:p>
            <w:r>
              <w:t xml:space="preserve">20.3%</w:t>
            </w:r>
          </w:p>
        </w:tc>
        <w:tc>
          <w:tcPr>
            <w:tcW w:type="dxa" w:w="1800"/>
          </w:tcPr>
          <w:p>
            <w:r>
              <w:t xml:space="preserve">20.6%</w:t>
            </w:r>
          </w:p>
        </w:tc>
      </w:tr>
      <w:tr>
        <w:tc>
          <w:tcPr>
            <w:tcW w:type="dxa" w:w="1800"/>
          </w:tcPr>
          <w:p>
            <w:r>
              <w:t xml:space="preserve">Net margin</w:t>
            </w:r>
          </w:p>
        </w:tc>
        <w:tc>
          <w:tcPr>
            <w:tcW w:type="dxa" w:w="1800"/>
          </w:tcPr>
          <w:p>
            <w:r>
              <w:t xml:space="preserve">6.0%</w:t>
            </w:r>
          </w:p>
        </w:tc>
        <w:tc>
          <w:tcPr>
            <w:tcW w:type="dxa" w:w="1800"/>
          </w:tcPr>
          <w:p>
            <w:r>
              <w:t xml:space="preserve">7.0%</w:t>
            </w:r>
          </w:p>
        </w:tc>
        <w:tc>
          <w:tcPr>
            <w:tcW w:type="dxa" w:w="1800"/>
          </w:tcPr>
          <w:p>
            <w:r>
              <w:t xml:space="preserve">12.2%</w:t>
            </w:r>
          </w:p>
        </w:tc>
        <w:tc>
          <w:tcPr>
            <w:tcW w:type="dxa" w:w="1800"/>
          </w:tcPr>
          <w:p>
            <w:r>
              <w:t xml:space="preserve">11.7%</w:t>
            </w:r>
          </w:p>
        </w:tc>
        <w:tc>
          <w:tcPr>
            <w:tcW w:type="dxa" w:w="1800"/>
          </w:tcPr>
          <w:p>
            <w:r>
              <w:t xml:space="preserve">12.5%</w:t>
            </w:r>
          </w:p>
        </w:tc>
      </w:tr>
      <w:tr>
        <w:tc>
          <w:tcPr>
            <w:tcW w:type="dxa" w:w="1800"/>
          </w:tcPr>
          <w:p>
            <w:r>
              <w:t xml:space="preserve">ROE</w:t>
            </w:r>
          </w:p>
        </w:tc>
        <w:tc>
          <w:tcPr>
            <w:tcW w:type="dxa" w:w="1800"/>
          </w:tcPr>
          <w:p>
            <w:r>
              <w:t xml:space="preserve">22.4%</w:t>
            </w:r>
          </w:p>
        </w:tc>
        <w:tc>
          <w:tcPr>
            <w:tcW w:type="dxa" w:w="1800"/>
          </w:tcPr>
          <w:p>
            <w:r>
              <w:t xml:space="preserve">25.4%</w:t>
            </w:r>
          </w:p>
        </w:tc>
        <w:tc>
          <w:tcPr>
            <w:tcW w:type="dxa" w:w="1800"/>
          </w:tcPr>
          <w:p>
            <w:r>
              <w:t xml:space="preserve">36.1%</w:t>
            </w:r>
          </w:p>
        </w:tc>
        <w:tc>
          <w:tcPr>
            <w:tcW w:type="dxa" w:w="1800"/>
          </w:tcPr>
          <w:p>
            <w:r>
              <w:t xml:space="preserve">30.3%</w:t>
            </w:r>
          </w:p>
        </w:tc>
        <w:tc>
          <w:tcPr>
            <w:tcW w:type="dxa" w:w="1800"/>
          </w:tcPr>
          <w:p>
            <w:r>
              <w:t xml:space="preserve">31.8%</w:t>
            </w:r>
          </w:p>
        </w:tc>
      </w:tr>
      <w:tr>
        <w:tc>
          <w:tcPr>
            <w:tcW w:type="dxa" w:w="1800"/>
          </w:tcPr>
          <w:p>
            <w:r>
              <w:t xml:space="preserve">P/E</w:t>
            </w:r>
          </w:p>
        </w:tc>
        <w:tc>
          <w:tcPr>
            <w:tcW w:type="dxa" w:w="1800"/>
          </w:tcPr>
          <w:p>
            <w:r>
              <w:t xml:space="preserve">9.4×</w:t>
            </w:r>
          </w:p>
        </w:tc>
        <w:tc>
          <w:tcPr>
            <w:tcW w:type="dxa" w:w="1800"/>
          </w:tcPr>
          <w:p>
            <w:r>
              <w:t xml:space="preserve">19.6×</w:t>
            </w:r>
          </w:p>
        </w:tc>
        <w:tc>
          <w:tcPr>
            <w:tcW w:type="dxa" w:w="1800"/>
          </w:tcPr>
          <w:p>
            <w:r>
              <w:t xml:space="preserve">20.1×</w:t>
            </w:r>
          </w:p>
        </w:tc>
        <w:tc>
          <w:tcPr>
            <w:tcW w:type="dxa" w:w="1800"/>
          </w:tcPr>
          <w:p>
            <w:r>
              <w:t xml:space="preserve">32.4×</w:t>
            </w:r>
          </w:p>
        </w:tc>
        <w:tc>
          <w:tcPr>
            <w:tcW w:type="dxa" w:w="1800"/>
          </w:tcPr>
          <w:p>
            <w:r>
              <w:t xml:space="preserve">36.4×</w:t>
            </w:r>
          </w:p>
        </w:tc>
      </w:tr>
      <w:tr>
        <w:tc>
          <w:tcPr>
            <w:tcW w:type="dxa" w:w="1800"/>
          </w:tcPr>
          <w:p>
            <w:r>
              <w:t xml:space="preserve">P/S</w:t>
            </w:r>
          </w:p>
        </w:tc>
        <w:tc>
          <w:tcPr>
            <w:tcW w:type="dxa" w:w="1800"/>
          </w:tcPr>
          <w:p>
            <w:r>
              <w:t xml:space="preserve">0.6×</w:t>
            </w:r>
          </w:p>
        </w:tc>
        <w:tc>
          <w:tcPr>
            <w:tcW w:type="dxa" w:w="1800"/>
          </w:tcPr>
          <w:p>
            <w:r>
              <w:t xml:space="preserve">1.4×</w:t>
            </w:r>
          </w:p>
        </w:tc>
        <w:tc>
          <w:tcPr>
            <w:tcW w:type="dxa" w:w="1800"/>
          </w:tcPr>
          <w:p>
            <w:r>
              <w:t xml:space="preserve">2.4×</w:t>
            </w:r>
          </w:p>
        </w:tc>
        <w:tc>
          <w:tcPr>
            <w:tcW w:type="dxa" w:w="1800"/>
          </w:tcPr>
          <w:p>
            <w:r>
              <w:t xml:space="preserve">3.8×</w:t>
            </w:r>
          </w:p>
        </w:tc>
        <w:tc>
          <w:tcPr>
            <w:tcW w:type="dxa" w:w="1800"/>
          </w:tcPr>
          <w:p>
            <w:r>
              <w:t xml:space="preserve">4.6×</w:t>
            </w:r>
          </w:p>
        </w:tc>
      </w:tr>
      <w:tr>
        <w:tc>
          <w:tcPr>
            <w:tcW w:type="dxa" w:w="1800"/>
          </w:tcPr>
          <w:p>
            <w:r>
              <w:t xml:space="preserve">P/B</w:t>
            </w:r>
          </w:p>
        </w:tc>
        <w:tc>
          <w:tcPr>
            <w:tcW w:type="dxa" w:w="1800"/>
          </w:tcPr>
          <w:p>
            <w:r>
              <w:t xml:space="preserve">2.1×</w:t>
            </w:r>
          </w:p>
        </w:tc>
        <w:tc>
          <w:tcPr>
            <w:tcW w:type="dxa" w:w="1800"/>
          </w:tcPr>
          <w:p>
            <w:r>
              <w:t xml:space="preserve">4.4×</w:t>
            </w:r>
          </w:p>
        </w:tc>
        <w:tc>
          <w:tcPr>
            <w:tcW w:type="dxa" w:w="1800"/>
          </w:tcPr>
          <w:p>
            <w:r>
              <w:t xml:space="preserve">6.4×</w:t>
            </w:r>
          </w:p>
        </w:tc>
        <w:tc>
          <w:tcPr>
            <w:tcW w:type="dxa" w:w="1800"/>
          </w:tcPr>
          <w:p>
            <w:r>
              <w:t xml:space="preserve">8.5×</w:t>
            </w:r>
          </w:p>
        </w:tc>
        <w:tc>
          <w:tcPr>
            <w:tcW w:type="dxa" w:w="1800"/>
          </w:tcPr>
          <w:p>
            <w:r>
              <w:t xml:space="preserve">11.6×</w:t>
            </w:r>
          </w:p>
        </w:tc>
      </w:tr>
      <w:tr>
        <w:tc>
          <w:tcPr>
            <w:tcW w:type="dxa" w:w="1800"/>
          </w:tcPr>
          <w:p>
            <w:r>
              <w:t xml:space="preserve">EV/Revenue</w:t>
            </w:r>
          </w:p>
        </w:tc>
        <w:tc>
          <w:tcPr>
            <w:tcW w:type="dxa" w:w="1800"/>
          </w:tcPr>
          <w:p>
            <w:r>
              <w:t xml:space="preserve">0.7×</w:t>
            </w:r>
          </w:p>
        </w:tc>
        <w:tc>
          <w:tcPr>
            <w:tcW w:type="dxa" w:w="1800"/>
          </w:tcPr>
          <w:p>
            <w:r>
              <w:t xml:space="preserve">1.3×</w:t>
            </w:r>
          </w:p>
        </w:tc>
        <w:tc>
          <w:tcPr>
            <w:tcW w:type="dxa" w:w="1800"/>
          </w:tcPr>
          <w:p>
            <w:r>
              <w:t xml:space="preserve">2.3×</w:t>
            </w:r>
          </w:p>
        </w:tc>
        <w:tc>
          <w:tcPr>
            <w:tcW w:type="dxa" w:w="1800"/>
          </w:tcPr>
          <w:p>
            <w:r>
              <w:t xml:space="preserve">3.8×</w:t>
            </w:r>
          </w:p>
        </w:tc>
        <w:tc>
          <w:tcPr>
            <w:tcW w:type="dxa" w:w="1800"/>
          </w:tcPr>
          <w:p>
            <w:r>
              <w:t xml:space="preserve">4.5×</w:t>
            </w:r>
          </w:p>
        </w:tc>
      </w:tr>
      <w:tr>
        <w:tc>
          <w:tcPr>
            <w:tcW w:type="dxa" w:w="1800"/>
          </w:tcPr>
          <w:p>
            <w:r>
              <w:t xml:space="preserve">EV/EBITDA</w:t>
            </w:r>
          </w:p>
        </w:tc>
        <w:tc>
          <w:tcPr>
            <w:tcW w:type="dxa" w:w="1800"/>
          </w:tcPr>
          <w:p>
            <w:r>
              <w:t xml:space="preserve">6.2×</w:t>
            </w:r>
          </w:p>
        </w:tc>
        <w:tc>
          <w:tcPr>
            <w:tcW w:type="dxa" w:w="1800"/>
          </w:tcPr>
          <w:p>
            <w:r>
              <w:t xml:space="preserve">9.5×</w:t>
            </w:r>
          </w:p>
        </w:tc>
        <w:tc>
          <w:tcPr>
            <w:tcW w:type="dxa" w:w="1800"/>
          </w:tcPr>
          <w:p>
            <w:r>
              <w:t xml:space="preserve">10.8×</w:t>
            </w:r>
          </w:p>
        </w:tc>
        <w:tc>
          <w:tcPr>
            <w:tcW w:type="dxa" w:w="1800"/>
          </w:tcPr>
          <w:p>
            <w:r>
              <w:t xml:space="preserve">18.5×</w:t>
            </w:r>
          </w:p>
        </w:tc>
        <w:tc>
          <w:tcPr>
            <w:tcW w:type="dxa" w:w="1800"/>
          </w:tcPr>
          <w:p>
            <w:r>
              <w:t xml:space="preserve">22.0×</w:t>
            </w:r>
          </w:p>
        </w:tc>
      </w:tr>
      <w:tr>
        <w:tc>
          <w:tcPr>
            <w:tcW w:type="dxa" w:w="1800"/>
          </w:tcPr>
          <w:p>
            <w:r>
              <w:t xml:space="preserve">Debt/Equity</w:t>
            </w:r>
          </w:p>
        </w:tc>
        <w:tc>
          <w:tcPr>
            <w:tcW w:type="dxa" w:w="1800"/>
          </w:tcPr>
          <w:p>
            <w:r>
              <w:t xml:space="preserve">1.0</w:t>
            </w:r>
          </w:p>
        </w:tc>
        <w:tc>
          <w:tcPr>
            <w:tcW w:type="dxa" w:w="1800"/>
          </w:tcPr>
          <w:p>
            <w:r>
              <w:t xml:space="preserve">0.6</w:t>
            </w:r>
          </w:p>
        </w:tc>
        <w:tc>
          <w:tcPr>
            <w:tcW w:type="dxa" w:w="1800"/>
          </w:tcPr>
          <w:p>
            <w:r>
              <w:t xml:space="preserve">0.5</w:t>
            </w:r>
          </w:p>
        </w:tc>
        <w:tc>
          <w:tcPr>
            <w:tcW w:type="dxa" w:w="1800"/>
          </w:tcPr>
          <w:p>
            <w:r>
              <w:t xml:space="preserve">0.3</w:t>
            </w:r>
          </w:p>
        </w:tc>
        <w:tc>
          <w:tcPr>
            <w:tcW w:type="dxa" w:w="1800"/>
          </w:tcPr>
          <w:p>
            <w:r>
              <w:t xml:space="preserve">0.2</w:t>
            </w:r>
          </w:p>
        </w:tc>
      </w:tr>
      <w:tr>
        <w:tc>
          <w:tcPr>
            <w:tcW w:type="dxa" w:w="1800"/>
          </w:tcPr>
          <w:p>
            <w:r>
              <w:t xml:space="preserve">Net cash / (net debt)</w:t>
            </w:r>
          </w:p>
        </w:tc>
        <w:tc>
          <w:tcPr>
            <w:tcW w:type="dxa" w:w="1800"/>
          </w:tcPr>
          <w:p>
            <w:r>
              <w:t xml:space="preserve">($310M)</w:t>
            </w:r>
          </w:p>
        </w:tc>
        <w:tc>
          <w:tcPr>
            <w:tcW w:type="dxa" w:w="1800"/>
          </w:tcPr>
          <w:p>
            <w:r>
              <w:t xml:space="preserve">$73M</w:t>
            </w:r>
          </w:p>
        </w:tc>
        <w:tc>
          <w:tcPr>
            <w:tcW w:type="dxa" w:w="1800"/>
          </w:tcPr>
          <w:p>
            <w:r>
              <w:t xml:space="preserve">$295M</w:t>
            </w:r>
          </w:p>
        </w:tc>
        <w:tc>
          <w:tcPr>
            <w:tcW w:type="dxa" w:w="1800"/>
          </w:tcPr>
          <w:p>
            <w:r>
              <w:t xml:space="preserve">$41M</w:t>
            </w:r>
          </w:p>
        </w:tc>
        <w:tc>
          <w:tcPr>
            <w:tcW w:type="dxa" w:w="1800"/>
          </w:tcPr>
          <w:p>
            <w:r>
              <w:t xml:space="preserve">$128M (incl. leases; ~$181M ex-leases)</w:t>
            </w:r>
          </w:p>
        </w:tc>
      </w:tr>
      <w:tr>
        <w:tc>
          <w:tcPr>
            <w:tcW w:type="dxa" w:w="1800"/>
          </w:tcPr>
          <w:p>
            <w:r>
              <w:t xml:space="preserve">FCF margin</w:t>
            </w:r>
          </w:p>
        </w:tc>
        <w:tc>
          <w:tcPr>
            <w:tcW w:type="dxa" w:w="1800"/>
          </w:tcPr>
          <w:p>
            <w:r>
              <w:t xml:space="preserve">8.9%</w:t>
            </w:r>
          </w:p>
        </w:tc>
        <w:tc>
          <w:tcPr>
            <w:tcW w:type="dxa" w:w="1800"/>
          </w:tcPr>
          <w:p>
            <w:r>
              <w:t xml:space="preserve">21.0%</w:t>
            </w:r>
          </w:p>
        </w:tc>
        <w:tc>
          <w:tcPr>
            <w:tcW w:type="dxa" w:w="1800"/>
          </w:tcPr>
          <w:p>
            <w:r>
              <w:t xml:space="preserve">19.7%</w:t>
            </w:r>
          </w:p>
        </w:tc>
        <w:tc>
          <w:tcPr>
            <w:tcW w:type="dxa" w:w="1800"/>
          </w:tcPr>
          <w:p>
            <w:r>
              <w:t xml:space="preserve">14.6%</w:t>
            </w:r>
          </w:p>
        </w:tc>
        <w:tc>
          <w:tcPr>
            <w:tcW w:type="dxa" w:w="1800"/>
          </w:tcPr>
          <w:p>
            <w:r>
              <w:t xml:space="preserve">14.0%</w:t>
            </w:r>
          </w:p>
        </w:tc>
      </w:tr>
      <w:tr>
        <w:tc>
          <w:tcPr>
            <w:tcW w:type="dxa" w:w="1800"/>
          </w:tcPr>
          <w:p>
            <w:r>
              <w:t xml:space="preserve">Shares</w:t>
            </w:r>
          </w:p>
        </w:tc>
        <w:tc>
          <w:tcPr>
            <w:tcW w:type="dxa" w:w="1800"/>
          </w:tcPr>
          <w:p>
            <w:r>
              <w:t xml:space="preserve">30.6M</w:t>
            </w:r>
          </w:p>
        </w:tc>
        <w:tc>
          <w:tcPr>
            <w:tcW w:type="dxa" w:w="1800"/>
          </w:tcPr>
          <w:p>
            <w:r>
              <w:t xml:space="preserve">30.9M</w:t>
            </w:r>
          </w:p>
        </w:tc>
        <w:tc>
          <w:tcPr>
            <w:tcW w:type="dxa" w:w="1800"/>
          </w:tcPr>
          <w:p>
            <w:r>
              <w:t xml:space="preserve">30.7M</w:t>
            </w:r>
          </w:p>
        </w:tc>
        <w:tc>
          <w:tcPr>
            <w:tcW w:type="dxa" w:w="1800"/>
          </w:tcPr>
          <w:p>
            <w:r>
              <w:t xml:space="preserve">30.7M</w:t>
            </w:r>
          </w:p>
        </w:tc>
        <w:tc>
          <w:tcPr>
            <w:tcW w:type="dxa" w:w="1800"/>
          </w:tcPr>
          <w:p>
            <w:r>
              <w:t xml:space="preserve">30.6M</w:t>
            </w:r>
          </w:p>
        </w:tc>
      </w:tr>
    </w:tbl>
    <w:p>
      <w:pPr>
        <w:pStyle w:val="Heading3"/>
        <w:spacing w:after="100" w:before="200"/>
      </w:pPr>
      <w:r>
        <w:t xml:space="preserve">Sector-Specific Ratio Table (Industrials / E&amp;C)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FY2022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FY2023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FY2024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FY2025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TTM / latest</w:t>
            </w:r>
          </w:p>
        </w:tc>
      </w:tr>
      <w:tr>
        <w:tc>
          <w:tcPr>
            <w:tcW w:type="dxa" w:w="1800"/>
          </w:tcPr>
          <w:p>
            <w:r>
              <w:t xml:space="preserve">ROIC (NOPLAT/IC, 24% tax)</w:t>
            </w:r>
          </w:p>
        </w:tc>
        <w:tc>
          <w:tcPr>
            <w:tcW w:type="dxa" w:w="1800"/>
          </w:tcPr>
          <w:p>
            <w:r>
              <w:t xml:space="preserve">13.5%</w:t>
            </w:r>
          </w:p>
        </w:tc>
        <w:tc>
          <w:tcPr>
            <w:tcW w:type="dxa" w:w="1800"/>
          </w:tcPr>
          <w:p>
            <w:r>
              <w:t xml:space="preserve">16.3%</w:t>
            </w:r>
          </w:p>
        </w:tc>
        <w:tc>
          <w:tcPr>
            <w:tcW w:type="dxa" w:w="1800"/>
          </w:tcPr>
          <w:p>
            <w:r>
              <w:t xml:space="preserve">18.2%</w:t>
            </w:r>
          </w:p>
        </w:tc>
        <w:tc>
          <w:tcPr>
            <w:tcW w:type="dxa" w:w="1800"/>
          </w:tcPr>
          <w:p>
            <w:r>
              <w:t xml:space="preserve">22.4%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</w:tr>
      <w:tr>
        <w:tc>
          <w:tcPr>
            <w:tcW w:type="dxa" w:w="1800"/>
          </w:tcPr>
          <w:p>
            <w:r>
              <w:t xml:space="preserve">Operating (EBIT) margin</w:t>
            </w:r>
          </w:p>
        </w:tc>
        <w:tc>
          <w:tcPr>
            <w:tcW w:type="dxa" w:w="1800"/>
          </w:tcPr>
          <w:p>
            <w:r>
              <w:t xml:space="preserve">9.1%</w:t>
            </w:r>
          </w:p>
        </w:tc>
        <w:tc>
          <w:tcPr>
            <w:tcW w:type="dxa" w:w="1800"/>
          </w:tcPr>
          <w:p>
            <w:r>
              <w:t xml:space="preserve">10.4%</w:t>
            </w:r>
          </w:p>
        </w:tc>
        <w:tc>
          <w:tcPr>
            <w:tcW w:type="dxa" w:w="1800"/>
          </w:tcPr>
          <w:p>
            <w:r>
              <w:t xml:space="preserve">12.8%</w:t>
            </w:r>
          </w:p>
        </w:tc>
        <w:tc>
          <w:tcPr>
            <w:tcW w:type="dxa" w:w="1800"/>
          </w:tcPr>
          <w:p>
            <w:r>
              <w:t xml:space="preserve">16.6%</w:t>
            </w:r>
          </w:p>
        </w:tc>
        <w:tc>
          <w:tcPr>
            <w:tcW w:type="dxa" w:w="1800"/>
          </w:tcPr>
          <w:p>
            <w:r>
              <w:t xml:space="preserve">~18.1%</w:t>
            </w:r>
          </w:p>
        </w:tc>
      </w:tr>
      <w:tr>
        <w:tc>
          <w:tcPr>
            <w:tcW w:type="dxa" w:w="1800"/>
          </w:tcPr>
          <w:p>
            <w:r>
              <w:t xml:space="preserve">Goodwill+intangibles / assets</w:t>
            </w:r>
          </w:p>
        </w:tc>
        <w:tc>
          <w:tcPr>
            <w:tcW w:type="dxa" w:w="1800"/>
          </w:tcPr>
          <w:p>
            <w:r>
              <w:t xml:space="preserve">39.0%</w:t>
            </w:r>
          </w:p>
        </w:tc>
        <w:tc>
          <w:tcPr>
            <w:tcW w:type="dxa" w:w="1800"/>
          </w:tcPr>
          <w:p>
            <w:r>
              <w:t xml:space="preserve">34.3%</w:t>
            </w:r>
          </w:p>
        </w:tc>
        <w:tc>
          <w:tcPr>
            <w:tcW w:type="dxa" w:w="1800"/>
          </w:tcPr>
          <w:p>
            <w:r>
              <w:t xml:space="preserve">28.8%</w:t>
            </w:r>
          </w:p>
        </w:tc>
        <w:tc>
          <w:tcPr>
            <w:tcW w:type="dxa" w:w="1800"/>
          </w:tcPr>
          <w:p>
            <w:r>
              <w:t xml:space="preserve">43.3%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</w:tr>
      <w:tr>
        <w:tc>
          <w:tcPr>
            <w:tcW w:type="dxa" w:w="1800"/>
          </w:tcPr>
          <w:p>
            <w:r>
              <w:t xml:space="preserve">CapEx / revenue</w:t>
            </w:r>
          </w:p>
        </w:tc>
        <w:tc>
          <w:tcPr>
            <w:tcW w:type="dxa" w:w="1800"/>
          </w:tcPr>
          <w:p>
            <w:r>
              <w:t xml:space="preserve">3.4%</w:t>
            </w:r>
          </w:p>
        </w:tc>
        <w:tc>
          <w:tcPr>
            <w:tcW w:type="dxa" w:w="1800"/>
          </w:tcPr>
          <w:p>
            <w:r>
              <w:t xml:space="preserve">3.3%</w:t>
            </w:r>
          </w:p>
        </w:tc>
        <w:tc>
          <w:tcPr>
            <w:tcW w:type="dxa" w:w="1800"/>
          </w:tcPr>
          <w:p>
            <w:r>
              <w:t xml:space="preserve">3.8%</w:t>
            </w:r>
          </w:p>
        </w:tc>
        <w:tc>
          <w:tcPr>
            <w:tcW w:type="dxa" w:w="1800"/>
          </w:tcPr>
          <w:p>
            <w:r>
              <w:t xml:space="preserve">3.1%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</w:tr>
      <w:tr>
        <w:tc>
          <w:tcPr>
            <w:tcW w:type="dxa" w:w="1800"/>
          </w:tcPr>
          <w:p>
            <w:r>
              <w:t xml:space="preserve">Free cash flow</w:t>
            </w:r>
          </w:p>
        </w:tc>
        <w:tc>
          <w:tcPr>
            <w:tcW w:type="dxa" w:w="1800"/>
          </w:tcPr>
          <w:p>
            <w:r>
              <w:t xml:space="preserve">$158M</w:t>
            </w:r>
          </w:p>
        </w:tc>
        <w:tc>
          <w:tcPr>
            <w:tcW w:type="dxa" w:w="1800"/>
          </w:tcPr>
          <w:p>
            <w:r>
              <w:t xml:space="preserve">$414M</w:t>
            </w:r>
          </w:p>
        </w:tc>
        <w:tc>
          <w:tcPr>
            <w:tcW w:type="dxa" w:w="1800"/>
          </w:tcPr>
          <w:p>
            <w:r>
              <w:t xml:space="preserve">$416M</w:t>
            </w:r>
          </w:p>
        </w:tc>
        <w:tc>
          <w:tcPr>
            <w:tcW w:type="dxa" w:w="1800"/>
          </w:tcPr>
          <w:p>
            <w:r>
              <w:t xml:space="preserve">$363M</w:t>
            </w:r>
          </w:p>
        </w:tc>
        <w:tc>
          <w:tcPr>
            <w:tcW w:type="dxa" w:w="1800"/>
          </w:tcPr>
          <w:p>
            <w:r>
              <w:t xml:space="preserve">n/a (TTM OCF $597.7M = FY25 − H1-25 + H1-26; H1 capex not retrieved)</w:t>
            </w:r>
          </w:p>
        </w:tc>
      </w:tr>
      <w:tr>
        <w:tc>
          <w:tcPr>
            <w:tcW w:type="dxa" w:w="1800"/>
          </w:tcPr>
          <w:p>
            <w:r>
              <w:t xml:space="preserve">Buybacks</w:t>
            </w:r>
          </w:p>
        </w:tc>
        <w:tc>
          <w:tcPr>
            <w:tcW w:type="dxa" w:w="1800"/>
          </w:tcPr>
          <w:p>
            <w:r>
              <w:t xml:space="preserve">$0</w:t>
            </w:r>
          </w:p>
        </w:tc>
        <w:tc>
          <w:tcPr>
            <w:tcW w:type="dxa" w:w="1800"/>
          </w:tcPr>
          <w:p>
            <w:r>
              <w:t xml:space="preserve">$0</w:t>
            </w:r>
          </w:p>
        </w:tc>
        <w:tc>
          <w:tcPr>
            <w:tcW w:type="dxa" w:w="1800"/>
          </w:tcPr>
          <w:p>
            <w:r>
              <w:t xml:space="preserve">$70.6M</w:t>
            </w:r>
          </w:p>
        </w:tc>
        <w:tc>
          <w:tcPr>
            <w:tcW w:type="dxa" w:w="1800"/>
          </w:tcPr>
          <w:p>
            <w:r>
              <w:t xml:space="preserve">$74.2M</w:t>
            </w:r>
          </w:p>
        </w:tc>
        <w:tc>
          <w:tcPr>
            <w:tcW w:type="dxa" w:w="1800"/>
          </w:tcPr>
          <w:p>
            <w:r>
              <w:t xml:space="preserve">$35.3M (H1-26)</w:t>
            </w:r>
          </w:p>
        </w:tc>
      </w:tr>
      <w:tr>
        <w:tc>
          <w:tcPr>
            <w:tcW w:type="dxa" w:w="1800"/>
          </w:tcPr>
          <w:p>
            <w:r>
              <w:t xml:space="preserve">Signed backlog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$4.33B (Q2-26, +116% YoY)</w:t>
            </w:r>
          </w:p>
        </w:tc>
      </w:tr>
    </w:tbl>
    <w:p>
      <w:pPr>
        <w:pStyle w:val="Heading3"/>
        <w:spacing w:after="100" w:before="200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EV/EBITDA went from 6.2× to 22.0× while the EBITDA margin rose from 12% to ~21%.</w:t>
      </w:r>
      <w:r>
        <w:t xml:space="preserve"> The multiple expanded ~3.5× while margins rose ~1.7×. This is the Mauboussin tension shown over time: the market re-rated STRL from a cyclical contractor into a secular AI-infrastructure compounder. Even after the −49% drawdown, TTM EV/EBITDA is 22×, above FY25's 18.5×.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ROIC rose every year from 13.5% to 22.4%, with net cash and a flat share count.</w:t>
      </w:r>
      <w:r>
        <w:t xml:space="preserve"> These are the hard numbers behind the 8/9 Compounder score and the Fisher #5/#13 passes. The *business* verdict is not in doubt. The *price* is.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Goodwill/assets jumped from 28.8% to 43.3% in FY25 (CEC)</w:t>
      </w:r>
      <w:r>
        <w:t xml:space="preserve">, and Stone Ridge added more in 2026. Together with the guide's ~14% incremental margin, this is the early data behind the one Compounder fail. Growth is shifting from organic to acquired at lower margins, which is typical late in an end-market boom.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c>
          <w:tcPr>
            <w:tcW w:type="dxa" w:w="981"/>
            <w:shd w:fill="D9D9D9" w:val="clear"/>
          </w:tcPr>
          <w:p>
            <w:r>
              <w:t xml:space="preserve">TICKER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Track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Category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F-Score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F-Rating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DCF Bear-Base-Bull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MoS Gate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Compounder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AI Impact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Horizon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Thesis Invalidation</w:t>
            </w:r>
          </w:p>
        </w:tc>
      </w:tr>
      <w:tr>
        <w:tc>
          <w:tcPr>
            <w:tcW w:type="dxa" w:w="981"/>
          </w:tcPr>
          <w:p>
            <w:r>
              <w:t xml:space="preserve">STRL</w:t>
            </w:r>
          </w:p>
        </w:tc>
        <w:tc>
          <w:tcPr>
            <w:tcW w:type="dxa" w:w="981"/>
          </w:tcPr>
          <w:p>
            <w:r>
              <w:t xml:space="preserve">A-ID</w:t>
            </w:r>
          </w:p>
        </w:tc>
        <w:tc>
          <w:tcPr>
            <w:tcW w:type="dxa" w:w="981"/>
          </w:tcPr>
          <w:p>
            <w:r>
              <w:t xml:space="preserve">FastGrower (cyclical end-market)</w:t>
            </w:r>
          </w:p>
        </w:tc>
        <w:tc>
          <w:tcPr>
            <w:tcW w:type="dxa" w:w="981"/>
          </w:tcPr>
          <w:p>
            <w:r>
              <w:t xml:space="preserve">60</w:t>
            </w:r>
          </w:p>
        </w:tc>
        <w:tc>
          <w:tcPr>
            <w:tcW w:type="dxa" w:w="981"/>
          </w:tcPr>
          <w:p>
            <w:r>
              <w:t xml:space="preserve">Fair</w:t>
            </w:r>
          </w:p>
        </w:tc>
        <w:tc>
          <w:tcPr>
            <w:tcW w:type="dxa" w:w="981"/>
          </w:tcPr>
          <w:p>
            <w:r>
              <w:t xml:space="preserve">$146.80 / $273.11 / $394.09 (€128.89 / €239.78 / €345.99), WACC 10.5%</w:t>
            </w:r>
          </w:p>
        </w:tc>
        <w:tc>
          <w:tcPr>
            <w:tcW w:type="dxa" w:w="981"/>
          </w:tcPr>
          <w:p>
            <w:r>
              <w:t xml:space="preserve">NONE (price &gt; Bull)</w:t>
            </w:r>
          </w:p>
        </w:tc>
        <w:tc>
          <w:tcPr>
            <w:tcW w:type="dxa" w:w="981"/>
          </w:tcPr>
          <w:p>
            <w:r>
              <w:t xml:space="preserve">WATCH (business COMPOUNDER, 8/9)</w:t>
            </w:r>
          </w:p>
        </w:tc>
        <w:tc>
          <w:tcPr>
            <w:tcW w:type="dxa" w:w="981"/>
          </w:tcPr>
          <w:p>
            <w:r>
              <w:t xml:space="preserve">TAILWIND (concentrated)</w:t>
            </w:r>
          </w:p>
        </w:tc>
        <w:tc>
          <w:tcPr>
            <w:tcW w:type="dxa" w:w="981"/>
          </w:tcPr>
          <w:p>
            <w:r>
              <w:t xml:space="preserve">5–10yr if re-priced</w:t>
            </w:r>
          </w:p>
        </w:tc>
        <w:tc>
          <w:tcPr>
            <w:tcW w:type="dxa" w:w="981"/>
          </w:tcPr>
          <w:p>
            <w:r>
              <w:t xml:space="preserve">E-Infrastructure signed backlog down QoQ for 2 consecutive quarters (hyperscaler capex rollover), OR adj. EBITDA margin &lt; 18%, OR a further large acquisition that pushes goodwill &gt; 50% of assets</w:t>
            </w:r>
          </w:p>
        </w:tc>
      </w:tr>
    </w:tbl>
    <w:p>
      <w:r>
        <w:rPr>
          <w:b/>
          <w:bCs/>
        </w:rPr>
        <w:t xml:space="preserve">What has to be true:</w:t>
      </w:r>
    </w:p>
    <w:p>
      <w:pPr>
        <w:pStyle w:val="ListParagraph"/>
        <w:numPr>
          <w:ilvl w:val="0"/>
          <w:numId w:val="1"/>
        </w:numPr>
      </w:pPr>
      <w:r>
        <w:t xml:space="preserve">Data-centre and fab site-development demand compounds at 20%+ for five years with no digestion cycle.</w:t>
      </w:r>
    </w:p>
    <w:p>
      <w:pPr>
        <w:pStyle w:val="ListParagraph"/>
        <w:numPr>
          <w:ilvl w:val="0"/>
          <w:numId w:val="1"/>
        </w:numPr>
      </w:pPr>
      <w:r>
        <w:t xml:space="preserve">Sterling scales capacity ~3× without further margin dilution.</w:t>
      </w:r>
    </w:p>
    <w:p>
      <w:pPr>
        <w:pStyle w:val="ListParagraph"/>
        <w:numPr>
          <w:ilvl w:val="0"/>
          <w:numId w:val="1"/>
        </w:numPr>
      </w:pPr>
      <w:r>
        <w:t xml:space="preserve">That is simultaneous perfection on demand *and* execution, inside an AI-infrastructure trade the macro report classes as Stage 3.</w:t>
      </w:r>
    </w:p>
    <w:p>
      <w:r>
        <w:rPr>
          <w:b/>
          <w:bCs/>
        </w:rPr>
        <w:t xml:space="preserve">What would most change the verdict: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Price.</w:t>
      </w:r>
      <w:r>
        <w:t xml:space="preserve"> The business already passes the quality bar. A move toward ~$275 (€240, the Base case), or a regime shift to a ~8.5% WACC (which lifts Base to ~$387), would move this from WATCH to QUALITY or COMPOUNDER.</w:t>
      </w:r>
    </w:p>
    <w:p>
      <w:pPr>
        <w:pStyle w:val="ListParagraph"/>
        <w:numPr>
          <w:ilvl w:val="0"/>
          <w:numId w:val="1"/>
        </w:numPr>
      </w:pPr>
      <w:r>
        <w:t xml:space="preserve">On the downside, the first quarter of sequential E-Infrastructure backlog decline would pull the Base case itself lower.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2026-09-25T09:08:38.635Z</dcterms:created>
  <dcterms:modified xsi:type="dcterms:W3CDTF">2026-09-25T09:08:38.636Z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