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32"/>
          <w:szCs w:val="32"/>
        </w:rPr>
        <w:t xml:space="preserve">UBER (Uber Technologies) — Long-Term Deep-Dive</w:t>
      </w:r>
    </w:p>
    <w:p>
      <w:pPr>
        <w:spacing w:after="200"/>
      </w:pPr>
      <w:r>
        <w:rPr>
          <w:i/>
          <w:iCs/>
          <w:color w:val="555555"/>
          <w:sz w:val="22"/>
          <w:szCs w:val="22"/>
        </w:rPr>
        <w:t xml:space="preserve">2026-09-22 · Long-Term Analyst Agent (Deep-Dive Mode)</w:t>
      </w:r>
    </w:p>
    <w:p>
      <w:pPr>
        <w:spacing w:after="120"/>
      </w:pPr>
      <w:r>
        <w:rPr>
          <w:b/>
          <w:bCs/>
        </w:rPr>
        <w:t xml:space="preserve">Current price: </w:t>
      </w:r>
      <w:r>
        <w:t xml:space="preserve">$71.16 (Sept 21, 2026 close)   </w:t>
      </w:r>
      <w:r>
        <w:rPr>
          <w:b/>
          <w:bCs/>
        </w:rPr>
        <w:t xml:space="preserve">Shares out: </w:t>
      </w:r>
      <w:r>
        <w:t xml:space="preserve">2.04B (-2.28% YoY)   </w:t>
      </w:r>
      <w:r>
        <w:rPr>
          <w:b/>
          <w:bCs/>
        </w:rPr>
        <w:t xml:space="preserve">Market cap: </w:t>
      </w:r>
      <w:r>
        <w:t xml:space="preserve">~$145.2B   </w:t>
      </w:r>
      <w:r>
        <w:rPr>
          <w:b/>
          <w:bCs/>
        </w:rPr>
        <w:t xml:space="preserve">Net debt: </w:t>
      </w:r>
      <w:r>
        <w:t xml:space="preserve">~$7.85B   </w:t>
      </w:r>
      <w:r>
        <w:rPr>
          <w:b/>
          <w:bCs/>
        </w:rPr>
        <w:t xml:space="preserve">EV: </w:t>
      </w:r>
      <w:r>
        <w:t xml:space="preserve">~$153.0B</w:t>
      </w:r>
    </w:p>
    <w:p>
      <w:pPr>
        <w:pBdr>
          <w:bottom w:val="single" w:color="999999" w:sz="6" w:space="1"/>
        </w:pBdr>
        <w:spacing w:after="200"/>
      </w:pPr>
    </w:p>
    <w:p>
      <w:pPr>
        <w:pStyle w:val="Heading1"/>
        <w:spacing w:after="150" w:before="300"/>
      </w:pPr>
      <w:r>
        <w:t xml:space="preserve">0. Recent Context</w:t>
      </w:r>
    </w:p>
    <w:p>
      <w:pPr>
        <w:pStyle w:val="Heading2"/>
        <w:spacing w:after="120" w:before="250"/>
      </w:pPr>
      <w:r>
        <w:t xml:space="preserve">Last reported quarter — Q2 2026 (reported Aug 5, 2026)</w:t>
      </w:r>
    </w:p>
    <w:p>
      <w:pPr>
        <w:pStyle w:val="ListParagraph"/>
        <w:numPr>
          <w:ilvl w:val="0"/>
          <w:numId w:val="1"/>
        </w:numPr>
        <w:spacing w:after="80"/>
      </w:pPr>
      <w:r>
        <w:t xml:space="preserve">Revenue $14.19B, +12.2% YoY reported / +11% YoY constant-currency — narrowly missed the $14.21B consensus by 0.1%.</w:t>
      </w:r>
    </w:p>
    <w:p>
      <w:pPr>
        <w:pStyle w:val="ListParagraph"/>
        <w:numPr>
          <w:ilvl w:val="0"/>
          <w:numId w:val="1"/>
        </w:numPr>
        <w:spacing w:after="80"/>
      </w:pPr>
      <w:r>
        <w:t xml:space="preserve">Gross Bookings $58.02B, +24% YoY reported / +22% YoY constant-currency — bookings growth meaningfully outpacing revenue growth.</w:t>
      </w:r>
    </w:p>
    <w:p>
      <w:pPr>
        <w:pStyle w:val="ListParagraph"/>
        <w:numPr>
          <w:ilvl w:val="0"/>
          <w:numId w:val="1"/>
        </w:numPr>
        <w:spacing w:after="80"/>
      </w:pPr>
      <w:r>
        <w:t xml:space="preserve">Non-GAAP EPS $0.81; GAAP EPS $1.17 (+85.7% YoY).</w:t>
      </w:r>
    </w:p>
    <w:p>
      <w:pPr>
        <w:pStyle w:val="ListParagraph"/>
        <w:numPr>
          <w:ilvl w:val="0"/>
          <w:numId w:val="1"/>
        </w:numPr>
        <w:spacing w:after="80"/>
      </w:pPr>
      <w:r>
        <w:t xml:space="preserve">Adjusted EBITDA $2.81B, +33% YoY. Non-GAAP net income $1.7B, +29% YoY.</w:t>
      </w:r>
    </w:p>
    <w:p>
      <w:pPr>
        <w:pStyle w:val="ListParagraph"/>
        <w:numPr>
          <w:ilvl w:val="0"/>
          <w:numId w:val="1"/>
        </w:numPr>
        <w:spacing w:after="80"/>
      </w:pPr>
      <w:r>
        <w:t xml:space="preserve">OCF $2.9B, FCF $2.8B for the quarter.</w:t>
      </w:r>
    </w:p>
    <w:p>
      <w:pPr>
        <w:pStyle w:val="ListParagraph"/>
        <w:numPr>
          <w:ilvl w:val="0"/>
          <w:numId w:val="1"/>
        </w:numPr>
        <w:spacing w:after="80"/>
      </w:pPr>
      <w:r>
        <w:t xml:space="preserve">Segment revenue: Mobility $7.363B (+1% YoY), Delivery $5.245B (+26-28% YoY cc, take rate 19.1% of GB, segment op income +38% YoY to $1.055B), Freight $1.583B (+25-26% YoY cc, operating loss narrowed to -$24M).</w:t>
      </w:r>
    </w:p>
    <w:p>
      <w:pPr>
        <w:spacing w:after="120"/>
      </w:pPr>
      <w:r>
        <w:rPr>
          <w:b/>
          <w:bCs/>
        </w:rPr>
        <w:t xml:space="preserve">Mobility's 1% revenue growth vs. ~22-23% bookings growth is NOT primarily an AV-competition signal: </w:t>
      </w:r>
      <w:r>
        <w:t xml:space="preserve">per company commentary, ~400bps of the ~500bps+ take-rate decline is a UK shift from gross to net revenue recognition (a $2.1B negative revenue impact), with the remainder from insurance-cost savings deliberately passed through to riders as fare reductions/incentives (notably in California markets like SF/LA). This is an accounting/strategic-pricing effect, distinguishable from the separate, real AV-disintermediation risk discussed in Section 6.</w:t>
      </w:r>
    </w:p>
    <w:p>
      <w:pPr>
        <w:pStyle w:val="Heading2"/>
        <w:spacing w:after="120" w:before="250"/>
      </w:pPr>
      <w:r>
        <w:t xml:space="preserve">Q3 2026 guidance</w:t>
      </w:r>
    </w:p>
    <w:p>
      <w:pPr>
        <w:spacing w:after="120"/>
      </w:pPr>
      <w:r>
        <w:t xml:space="preserve">Gross Bookings $58.25-60.25B (+18-22% YoY cc); Non-GAAP EPS $0.84-0.88 (+28-35% YoY); Adjusted EBITDA $2.86-2.96B. This EPS guide fell short of the $0.89-0.91 consensus — coverage attributes the post-earnings stock reaction primarily to this "guidance whiplash" compounded by investor anxiety over AV capital commitments.</w:t>
      </w:r>
    </w:p>
    <w:p>
      <w:pPr>
        <w:pStyle w:val="Heading2"/>
        <w:spacing w:after="120" w:before="250"/>
      </w:pPr>
      <w:r>
        <w:t xml:space="preserve">Recent news (trailing ~90 days)</w:t>
      </w:r>
    </w:p>
    <w:p>
      <w:pPr>
        <w:pStyle w:val="ListParagraph"/>
        <w:numPr>
          <w:ilvl w:val="0"/>
          <w:numId w:val="1"/>
        </w:numPr>
        <w:spacing w:after="80"/>
      </w:pPr>
      <w:r>
        <w:t xml:space="preserve">Sept 2, 2026 — restructuring: ~10% of global workforce cut (~3,300 people), management layers -20%, remote work ended for &gt;99% of staff. Framed as efficiency/reallocation, coinciding with record profitability, not distress.</w:t>
      </w:r>
    </w:p>
    <w:p>
      <w:pPr>
        <w:pStyle w:val="ListParagraph"/>
        <w:numPr>
          <w:ilvl w:val="0"/>
          <w:numId w:val="1"/>
        </w:numPr>
        <w:spacing w:after="80"/>
      </w:pPr>
      <w:r>
        <w:t xml:space="preserve">Sept 8-14, 2026 — AV competitive-fear selloff: stock fell toward its 52-week low ($65.41). Tesla Cybercab logged 380,000+ unsupervised robotaxi miles across six cities per Tesla's Q2 2026 call. 52-week range $65.41-$101.99 (down ~30% from high).</w:t>
      </w:r>
    </w:p>
    <w:p>
      <w:pPr>
        <w:pStyle w:val="ListParagraph"/>
        <w:numPr>
          <w:ilvl w:val="0"/>
          <w:numId w:val="1"/>
        </w:numPr>
        <w:spacing w:after="80"/>
      </w:pPr>
      <w:r>
        <w:t xml:space="preserve">July 24, 2026 — Waymo confirmed ending Austin/Atlanta exclusivity: Waymo will launch its own standalone app in Austin and Atlanta starting January 2028, ending the exclusive Uber-app arrangement (existing vehicles remain bookable via Uber through at least May 2028). Waymo separately signed a non-exclusive deal with Lyft for Nashville — a dated, confirmed structural development, not speculative fear.</w:t>
      </w:r>
    </w:p>
    <w:p>
      <w:pPr>
        <w:pStyle w:val="ListParagraph"/>
        <w:numPr>
          <w:ilvl w:val="0"/>
          <w:numId w:val="1"/>
        </w:numPr>
        <w:spacing w:after="80"/>
      </w:pPr>
      <w:r>
        <w:t xml:space="preserve">Uber's own AV commitments: &gt;$10B committed, including &gt;=35,000 robotaxis on Lucid EVs with Nuro self-driving, and up to 50,000 AVs from Rivian — positioning Uber as an asset-light AV fleet aggregator, a direct hedge against Waymo-style defection (though new/unproven vs. Waymo's mature fleet).</w:t>
      </w:r>
    </w:p>
    <w:p>
      <w:pPr>
        <w:pStyle w:val="ListParagraph"/>
        <w:numPr>
          <w:ilvl w:val="0"/>
          <w:numId w:val="1"/>
        </w:numPr>
        <w:spacing w:after="80"/>
      </w:pPr>
      <w:r>
        <w:t xml:space="preserve">Sept 10, 2026 — CEO Dara Khosrowshahi bought 141,000 shares (~$10M), his first open-market purchase since May 2022; COO Andrew Macdonald also bought (combined ~$15-17M) — into the AV-fear price weakness, not at a high.</w:t>
      </w:r>
    </w:p>
    <w:p>
      <w:pPr>
        <w:pStyle w:val="ListParagraph"/>
        <w:numPr>
          <w:ilvl w:val="0"/>
          <w:numId w:val="1"/>
        </w:numPr>
        <w:spacing w:after="80"/>
      </w:pPr>
      <w:r>
        <w:t xml:space="preserve">Analyst consensus: "Moderate Buy"/"Buy" (~8 Strong Buy / 35 Buy / 7 Hold / 1 Sell). Mean price target ~$102-104 (~45-48% upside from $71.16), Street high $150. At least one bank trimmed its target ($102-&gt;$100) on higher discount-rate assumptions despite the EPS beat.</w:t>
      </w:r>
    </w:p>
    <w:p>
      <w:pPr>
        <w:pStyle w:val="ListParagraph"/>
        <w:numPr>
          <w:ilvl w:val="0"/>
          <w:numId w:val="1"/>
        </w:numPr>
        <w:spacing w:after="80"/>
      </w:pPr>
      <w:r>
        <w:t xml:space="preserve">Buybacks: $7B (2024) + $20B (July 2025) = $27B total authorized; $3.2B repurchased in H1 2025. Shares outstanding down -2.28% over the trailing year.</w:t>
      </w:r>
    </w:p>
    <w:p>
      <w:pPr>
        <w:pStyle w:val="Heading1"/>
        <w:spacing w:after="150" w:before="300"/>
      </w:pPr>
      <w:r>
        <w:t xml:space="preserve">1. Business Overview</w:t>
      </w:r>
    </w:p>
    <w:p>
      <w:pPr>
        <w:pStyle w:val="Heading2"/>
        <w:spacing w:after="120" w:before="250"/>
      </w:pPr>
      <w:r>
        <w:t xml:space="preserve">Segments</w:t>
      </w:r>
    </w:p>
    <w:p>
      <w:pPr>
        <w:pStyle w:val="ListParagraph"/>
        <w:numPr>
          <w:ilvl w:val="0"/>
          <w:numId w:val="1"/>
        </w:numPr>
        <w:spacing w:after="80"/>
      </w:pPr>
      <w:r>
        <w:t xml:space="preserve">Mobility (ride-hailing): $7.363B Q2 2026 revenue, largest by gross bookings and operating income, now the slowest-growing on a revenue basis (bookings growth still +22-23%).</w:t>
      </w:r>
    </w:p>
    <w:p>
      <w:pPr>
        <w:pStyle w:val="ListParagraph"/>
        <w:numPr>
          <w:ilvl w:val="0"/>
          <w:numId w:val="1"/>
        </w:numPr>
        <w:spacing w:after="80"/>
      </w:pPr>
      <w:r>
        <w:t xml:space="preserve">Delivery (Uber Eats — food, grocery, retail): $5.245B Q2 2026 revenue, +26-28% YoY cc, fastest-improving margin (op margin 3.8% of GB, up from 3.5%).</w:t>
      </w:r>
    </w:p>
    <w:p>
      <w:pPr>
        <w:pStyle w:val="ListParagraph"/>
        <w:numPr>
          <w:ilvl w:val="0"/>
          <w:numId w:val="1"/>
        </w:numPr>
        <w:spacing w:after="80"/>
      </w:pPr>
      <w:r>
        <w:t xml:space="preserve">Freight (digital brokerage): $1.583B Q2 2026 revenue, +25-26% YoY cc — real acceleration from a multi-quarter flat/negative run, still loss-making but narrowing (-$24M).</w:t>
      </w:r>
    </w:p>
    <w:p>
      <w:pPr>
        <w:pStyle w:val="Heading2"/>
        <w:spacing w:after="120" w:before="250"/>
      </w:pPr>
      <w:r>
        <w:t xml:space="preserve">Principal markets</w:t>
      </w:r>
    </w:p>
    <w:p>
      <w:pPr>
        <w:spacing w:after="120"/>
      </w:pPr>
      <w:r>
        <w:t xml:space="preserve">Global, 70+ countries. Two/three-sided marketplace: riders/eaters, drivers/couriers, and (Delivery) restaurant/retail merchants. Q2 2026: 208M Monthly Active Platform Consumers (+15.6% YoY); 3.9B trips (+18% YoY); ~9.7M monthly drivers/couriers as of FY2025 (+19% YoY) — both sides of the marketplace growing simultaneously. Named competitors: Lyft (US mobility), DoorDash/Grubhub (US delivery), regional players (Grab, Didi, Bolt), and increasingly AV-native operators (Waymo, Tesla) that can bypass the marketplace entirely.</w:t>
      </w:r>
    </w:p>
    <w:p>
      <w:pPr>
        <w:pStyle w:val="Heading2"/>
        <w:spacing w:after="120" w:before="250"/>
      </w:pPr>
      <w:r>
        <w:t xml:space="preserve">TAM</w:t>
      </w:r>
    </w:p>
    <w:p>
      <w:pPr>
        <w:spacing w:after="120"/>
      </w:pPr>
      <w:r>
        <w:t xml:space="preserve">Company-disclosed figures are dated and fragmented. Uber's 2019 S-1 cited a $5.7T "Personal Mobility" TAM (11.9T miles/year, 175 countries) — a 7-year-old figure, methodology never refreshed publicly in sources retrieved this pass; treat as directional/stale. More recent (2026) commentary frames grocery/retail delivery alone as a ~$1T opportunity; global food-delivery market ~$1.2T+; current global ride-hailing market (narrower than the S-1 figure) ~$180B. TTM gross bookings of ~$213B [derived, not a directly reported TTM figure — see note] against these figures implies a genuinely wide penetration range (low-single-digit to low-teens %) depending on which TAM denominator is used.</w:t>
      </w:r>
    </w:p>
    <w:p>
      <w:pPr>
        <w:pStyle w:val="Heading1"/>
        <w:spacing w:after="150" w:before="300"/>
      </w:pPr>
      <w:r>
        <w:t xml:space="preserve">2. Routing</w:t>
      </w:r>
    </w:p>
    <w:p>
      <w:pPr>
        <w:spacing w:after="120"/>
      </w:pPr>
      <w:r>
        <w:rPr>
          <w:b/>
          <w:bCs/>
        </w:rPr>
        <w:t xml:space="preserve">Track: </w:t>
      </w:r>
      <w:r>
        <w:t xml:space="preserve">judgment call, resolved as Track A with a Track C/marketplace overlay — code A/C-MK (Marketplaces &amp; Platforms sector appendix applied regardless).</w:t>
      </w:r>
    </w:p>
    <w:p>
      <w:pPr>
        <w:spacing w:after="120"/>
      </w:pPr>
      <w:r>
        <w:t xml:space="preserve">Uber no longer fits Track C's core definition ("no steady-state earnings or asset base exists yet") — four consecutive years of improving profitability, positive GAAP operating income since 2023, FCF of ~$9.8-10.1B TTM. This argues for Track A / Koller DCF as the primary valuation anchor (Section 5). But the sector-specific lens that actually explains Uber's economics is the Marketplaces &amp; Platforms appendix (GMV/take-rate/network-liquidity), applied in Section 10 regardless of the Track A DCF classification — the most honest read of a business that is Track-A-mature on profitability but still best diagnosed on moat/competitive risk through marketplace-specific metrics.</w:t>
      </w:r>
    </w:p>
    <w:p>
      <w:pPr>
        <w:pStyle w:val="Heading1"/>
        <w:spacing w:after="150" w:before="300"/>
      </w:pPr>
      <w:r>
        <w:t xml:space="preserve">3. Categorization (Lynch)</w:t>
      </w:r>
    </w:p>
    <w:p>
      <w:pPr>
        <w:spacing w:after="120"/>
      </w:pPr>
      <w:r>
        <w:rPr>
          <w:b/>
          <w:bCs/>
        </w:rPr>
        <w:t xml:space="preserve">Stalwart, transitioning from Fast Grower.</w:t>
      </w:r>
    </w:p>
    <w:p>
      <w:pPr>
        <w:spacing w:after="120"/>
      </w:pPr>
      <w:r>
        <w:t xml:space="preserve">TTM consolidated revenue growth (~12-13%) is below Lynch's 20-25% Fast Grower threshold but well above Slow Grower territory; pockets of Fast-Grower behavior remain in Delivery (+26-28%) and a re-accelerating Freight segment. Revenue growth has decelerated from historical 50%+ rates (2021-2022 recovery era) to consolidated low-teens now, alongside consistent multi-year margin expansion — the Stalwart pattern fits better than continuing to treat this as a Fast Grower or unprofitable Track C story.</w:t>
      </w:r>
    </w:p>
    <w:p>
      <w:pPr>
        <w:pStyle w:val="Heading1"/>
        <w:spacing w:after="150" w:before="300"/>
      </w:pPr>
      <w:r>
        <w:t xml:space="preserve">4. Earnings Quality (Penman)</w:t>
      </w:r>
    </w:p>
    <w:p>
      <w:pPr>
        <w:spacing w:after="120"/>
      </w:pPr>
      <w:r>
        <w:rPr>
          <w:b/>
          <w:bCs/>
        </w:rPr>
        <w:t xml:space="preserve">GAAP net income is not a clean signal, for reasons specific to Uber's history:</w:t>
      </w:r>
    </w:p>
    <w:p>
      <w:pPr>
        <w:pStyle w:val="ListParagraph"/>
        <w:numPr>
          <w:ilvl w:val="0"/>
          <w:numId w:val="1"/>
        </w:numPr>
        <w:spacing w:after="80"/>
      </w:pPr>
      <w:r>
        <w:t xml:space="preserve">FY2024 net income of $9.86B included a $6.4B one-time tax valuation-allowance release (Q4 2024) plus a $556M pre-tax net unrealized gain on equity investments (Grab +$723M, Aurora +$629M, Didi +$357M). FY2023 net income was $1.89B (first full profitable year); FY2022 was a $9.14B loss. FY2025 net income (~$10.1B) was not independently decomposed into operating vs. non-operating components in sources retrieved this pass — flagged as an open item.</w:t>
      </w:r>
    </w:p>
    <w:p>
      <w:pPr>
        <w:pStyle w:val="ListParagraph"/>
        <w:numPr>
          <w:ilvl w:val="0"/>
          <w:numId w:val="1"/>
        </w:numPr>
        <w:spacing w:after="80"/>
      </w:pPr>
      <w:r>
        <w:t xml:space="preserve">RNOA vs. leverage: total debt ~$12.72B against total equity+NCI of roughly $28.4B [derived from June 30, 2026 balance sheet] implies a debt/equity ratio around ~0.45x — moderate, not high, leverage. Given GAAP net-income volatility, ROE is not a reliable RNOA proxy for Uber across the 5-year window — Adjusted EBITDA and FCF trends (both clean, monotonic multi-year improvement) are the more decision-useful operating signal.</w:t>
      </w:r>
    </w:p>
    <w:p>
      <w:pPr>
        <w:pStyle w:val="ListParagraph"/>
        <w:numPr>
          <w:ilvl w:val="0"/>
          <w:numId w:val="1"/>
        </w:numPr>
        <w:spacing w:after="80"/>
      </w:pPr>
      <w:r>
        <w:t xml:space="preserve">Trailing-quarter margins: Adjusted EBITDA margin (% of revenue) rose from an estimated ~16.7% (FY2025) to ~19.8% (Q2 2026) — a genuine improving trend. GAAP operating income improved quarterly (Q4 2025: record $1.8B; Q4 2024: first quarter ever above $1B) but full-year GAAP operating margin for FY2024/FY2025 was not fully reconciled from sources retrieved this pass — skipped, not estimated.</w:t>
      </w:r>
    </w:p>
    <w:p>
      <w:pPr>
        <w:pStyle w:val="ListParagraph"/>
        <w:numPr>
          <w:ilvl w:val="0"/>
          <w:numId w:val="1"/>
        </w:numPr>
        <w:spacing w:after="80"/>
      </w:pPr>
      <w:r>
        <w:t xml:space="preserve">Dilution: shares outstanding down -2.28% over the trailing year via buybacks — a genuine positive, the opposite of a dilution flag.</w:t>
      </w:r>
    </w:p>
    <w:p>
      <w:pPr>
        <w:pStyle w:val="ListParagraph"/>
        <w:numPr>
          <w:ilvl w:val="0"/>
          <w:numId w:val="1"/>
        </w:numPr>
        <w:spacing w:after="80"/>
      </w:pPr>
      <w:r>
        <w:t xml:space="preserve">Accrual ratio: not independently computable to Jones/Sloan precision (total-assets figure not sourced this pass) — flagged unavailable rather than estimated.</w:t>
      </w:r>
    </w:p>
    <w:p>
      <w:pPr>
        <w:pStyle w:val="Heading1"/>
        <w:spacing w:after="150" w:before="300"/>
      </w:pPr>
      <w:r>
        <w:t xml:space="preserve">5. Valuation — DCF (Koller)</w:t>
      </w:r>
    </w:p>
    <w:p>
      <w:pPr>
        <w:pStyle w:val="Heading2"/>
        <w:spacing w:after="120" w:before="250"/>
      </w:pPr>
      <w:r>
        <w:t xml:space="preserve">WACC Construction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685"/>
        <w:gridCol w:w="4493"/>
      </w:tblGrid>
      <w:tr>
        <w:trPr>
          <w:tblHeader/>
        </w:trPr>
        <w:tc>
          <w:tcPr>
            <w:tcW w:type="dxa" w:w="3182"/>
            <w:shd w:fill="D9E2F3" w:color="auto" w:val="clear"/>
          </w:tcPr>
          <w:p>
            <w:r>
              <w:rPr>
                <w:b/>
                <w:bCs/>
                <w:sz w:val="18"/>
                <w:szCs w:val="18"/>
              </w:rPr>
              <w:t xml:space="preserve">Input</w:t>
            </w:r>
          </w:p>
        </w:tc>
        <w:tc>
          <w:tcPr>
            <w:tcW w:type="dxa" w:w="1685"/>
            <w:shd w:fill="D9E2F3" w:color="auto" w:val="clear"/>
          </w:tcPr>
          <w:p>
            <w:r>
              <w:rPr>
                <w:b/>
                <w:bCs/>
                <w:sz w:val="18"/>
                <w:szCs w:val="18"/>
              </w:rPr>
              <w:t xml:space="preserve">Value</w:t>
            </w:r>
          </w:p>
        </w:tc>
        <w:tc>
          <w:tcPr>
            <w:tcW w:type="dxa" w:w="4493"/>
            <w:shd w:fill="D9E2F3" w:color="auto" w:val="clear"/>
          </w:tcPr>
          <w:p>
            <w:r>
              <w:rPr>
                <w:b/>
                <w:bCs/>
                <w:sz w:val="18"/>
                <w:szCs w:val="18"/>
              </w:rPr>
              <w:t xml:space="preserve">Basis</w:t>
            </w:r>
          </w:p>
        </w:tc>
      </w:tr>
      <w:tr>
        <w:tc>
          <w:tcPr>
            <w:tcW w:type="dxa" w:w="3182"/>
          </w:tcPr>
          <w:p>
            <w:r>
              <w:rPr>
                <w:b w:val="false"/>
                <w:bCs w:val="false"/>
                <w:sz w:val="18"/>
                <w:szCs w:val="18"/>
              </w:rPr>
              <w:t xml:space="preserve">Risk-free rate (10Y UST)</w:t>
            </w:r>
          </w:p>
        </w:tc>
        <w:tc>
          <w:tcPr>
            <w:tcW w:type="dxa" w:w="1685"/>
          </w:tcPr>
          <w:p>
            <w:r>
              <w:rPr>
                <w:b w:val="false"/>
                <w:bCs w:val="false"/>
                <w:sz w:val="18"/>
                <w:szCs w:val="18"/>
              </w:rPr>
              <w:t xml:space="preserve">4.95%</w:t>
            </w:r>
          </w:p>
        </w:tc>
        <w:tc>
          <w:tcPr>
            <w:tcW w:type="dxa" w:w="4493"/>
          </w:tcPr>
          <w:p>
            <w:r>
              <w:rPr>
                <w:b w:val="false"/>
                <w:bCs w:val="false"/>
                <w:sz w:val="18"/>
                <w:szCs w:val="18"/>
              </w:rPr>
              <w:t xml:space="preserve">Today's macro pipeline read</w:t>
            </w:r>
          </w:p>
        </w:tc>
      </w:tr>
      <w:tr>
        <w:tc>
          <w:tcPr>
            <w:tcW w:type="dxa" w:w="3182"/>
          </w:tcPr>
          <w:p>
            <w:r>
              <w:rPr>
                <w:b w:val="false"/>
                <w:bCs w:val="false"/>
                <w:sz w:val="18"/>
                <w:szCs w:val="18"/>
              </w:rPr>
              <w:t xml:space="preserve">Equity risk premium</w:t>
            </w:r>
          </w:p>
        </w:tc>
        <w:tc>
          <w:tcPr>
            <w:tcW w:type="dxa" w:w="1685"/>
          </w:tcPr>
          <w:p>
            <w:r>
              <w:rPr>
                <w:b w:val="false"/>
                <w:bCs w:val="false"/>
                <w:sz w:val="18"/>
                <w:szCs w:val="18"/>
              </w:rPr>
              <w:t xml:space="preserve">4.5%</w:t>
            </w:r>
          </w:p>
        </w:tc>
        <w:tc>
          <w:tcPr>
            <w:tcW w:type="dxa" w:w="4493"/>
          </w:tcPr>
          <w:p>
            <w:r>
              <w:rPr>
                <w:b w:val="false"/>
                <w:bCs w:val="false"/>
                <w:sz w:val="18"/>
                <w:szCs w:val="18"/>
              </w:rPr>
              <w:t xml:space="preserve">Damodaran implied ERP, US</w:t>
            </w:r>
          </w:p>
        </w:tc>
      </w:tr>
      <w:tr>
        <w:tc>
          <w:tcPr>
            <w:tcW w:type="dxa" w:w="3182"/>
          </w:tcPr>
          <w:p>
            <w:r>
              <w:rPr>
                <w:b w:val="false"/>
                <w:bCs w:val="false"/>
                <w:sz w:val="18"/>
                <w:szCs w:val="18"/>
              </w:rPr>
              <w:t xml:space="preserve">Beta</w:t>
            </w:r>
          </w:p>
        </w:tc>
        <w:tc>
          <w:tcPr>
            <w:tcW w:type="dxa" w:w="1685"/>
          </w:tcPr>
          <w:p>
            <w:r>
              <w:rPr>
                <w:b w:val="false"/>
                <w:bCs w:val="false"/>
                <w:sz w:val="18"/>
                <w:szCs w:val="18"/>
              </w:rPr>
              <w:t xml:space="preserve">1.15</w:t>
            </w:r>
          </w:p>
        </w:tc>
        <w:tc>
          <w:tcPr>
            <w:tcW w:type="dxa" w:w="4493"/>
          </w:tcPr>
          <w:p>
            <w:r>
              <w:rPr>
                <w:b w:val="false"/>
                <w:bCs w:val="false"/>
                <w:sz w:val="18"/>
                <w:szCs w:val="18"/>
              </w:rPr>
              <w:t xml:space="preserve">Sourced</w:t>
            </w:r>
          </w:p>
        </w:tc>
      </w:tr>
      <w:tr>
        <w:tc>
          <w:tcPr>
            <w:tcW w:type="dxa" w:w="3182"/>
          </w:tcPr>
          <w:p>
            <w:r>
              <w:rPr>
                <w:b w:val="false"/>
                <w:bCs w:val="false"/>
                <w:sz w:val="18"/>
                <w:szCs w:val="18"/>
              </w:rPr>
              <w:t xml:space="preserve">Cost of equity (Re)</w:t>
            </w:r>
          </w:p>
        </w:tc>
        <w:tc>
          <w:tcPr>
            <w:tcW w:type="dxa" w:w="1685"/>
          </w:tcPr>
          <w:p>
            <w:r>
              <w:rPr>
                <w:b w:val="false"/>
                <w:bCs w:val="false"/>
                <w:sz w:val="18"/>
                <w:szCs w:val="18"/>
              </w:rPr>
              <w:t xml:space="preserve">10.13%</w:t>
            </w:r>
          </w:p>
        </w:tc>
        <w:tc>
          <w:tcPr>
            <w:tcW w:type="dxa" w:w="4493"/>
          </w:tcPr>
          <w:p>
            <w:r>
              <w:rPr>
                <w:b w:val="false"/>
                <w:bCs w:val="false"/>
                <w:sz w:val="18"/>
                <w:szCs w:val="18"/>
              </w:rPr>
              <w:t xml:space="preserve">Rf + beta x ERP</w:t>
            </w:r>
          </w:p>
        </w:tc>
      </w:tr>
      <w:tr>
        <w:tc>
          <w:tcPr>
            <w:tcW w:type="dxa" w:w="3182"/>
          </w:tcPr>
          <w:p>
            <w:r>
              <w:rPr>
                <w:b w:val="false"/>
                <w:bCs w:val="false"/>
                <w:sz w:val="18"/>
                <w:szCs w:val="18"/>
              </w:rPr>
              <w:t xml:space="preserve">Cost of debt (pre-tax)</w:t>
            </w:r>
          </w:p>
        </w:tc>
        <w:tc>
          <w:tcPr>
            <w:tcW w:type="dxa" w:w="1685"/>
          </w:tcPr>
          <w:p>
            <w:r>
              <w:rPr>
                <w:b w:val="false"/>
                <w:bCs w:val="false"/>
                <w:sz w:val="18"/>
                <w:szCs w:val="18"/>
              </w:rPr>
              <w:t xml:space="preserve">5.5% [EST]</w:t>
            </w:r>
          </w:p>
        </w:tc>
        <w:tc>
          <w:tcPr>
            <w:tcW w:type="dxa" w:w="4493"/>
          </w:tcPr>
          <w:p>
            <w:r>
              <w:rPr>
                <w:b w:val="false"/>
                <w:bCs w:val="false"/>
                <w:sz w:val="18"/>
                <w:szCs w:val="18"/>
              </w:rPr>
              <w:t xml:space="preserve">No blended-yield figure sourced across 2028-2054 note ladder — estimated</w:t>
            </w:r>
          </w:p>
        </w:tc>
      </w:tr>
      <w:tr>
        <w:tc>
          <w:tcPr>
            <w:tcW w:type="dxa" w:w="3182"/>
          </w:tcPr>
          <w:p>
            <w:r>
              <w:rPr>
                <w:b w:val="false"/>
                <w:bCs w:val="false"/>
                <w:sz w:val="18"/>
                <w:szCs w:val="18"/>
              </w:rPr>
              <w:t xml:space="preserve">Tax rate</w:t>
            </w:r>
          </w:p>
        </w:tc>
        <w:tc>
          <w:tcPr>
            <w:tcW w:type="dxa" w:w="1685"/>
          </w:tcPr>
          <w:p>
            <w:r>
              <w:rPr>
                <w:b w:val="false"/>
                <w:bCs w:val="false"/>
                <w:sz w:val="18"/>
                <w:szCs w:val="18"/>
              </w:rPr>
              <w:t xml:space="preserve">23%</w:t>
            </w:r>
          </w:p>
        </w:tc>
        <w:tc>
          <w:tcPr>
            <w:tcW w:type="dxa" w:w="4493"/>
          </w:tcPr>
          <w:p>
            <w:r>
              <w:rPr>
                <w:b w:val="false"/>
                <w:bCs w:val="false"/>
                <w:sz w:val="18"/>
                <w:szCs w:val="18"/>
              </w:rPr>
              <w:t xml:space="preserve">Approximate marginal/blended assumption</w:t>
            </w:r>
          </w:p>
        </w:tc>
      </w:tr>
      <w:tr>
        <w:tc>
          <w:tcPr>
            <w:tcW w:type="dxa" w:w="3182"/>
          </w:tcPr>
          <w:p>
            <w:r>
              <w:rPr>
                <w:b w:val="false"/>
                <w:bCs w:val="false"/>
                <w:sz w:val="18"/>
                <w:szCs w:val="18"/>
              </w:rPr>
              <w:t xml:space="preserve">Cost of debt (after-tax)</w:t>
            </w:r>
          </w:p>
        </w:tc>
        <w:tc>
          <w:tcPr>
            <w:tcW w:type="dxa" w:w="1685"/>
          </w:tcPr>
          <w:p>
            <w:r>
              <w:rPr>
                <w:b w:val="false"/>
                <w:bCs w:val="false"/>
                <w:sz w:val="18"/>
                <w:szCs w:val="18"/>
              </w:rPr>
              <w:t xml:space="preserve">4.23%</w:t>
            </w:r>
          </w:p>
        </w:tc>
        <w:tc>
          <w:tcPr>
            <w:tcW w:type="dxa" w:w="4493"/>
          </w:tcPr>
          <w:p>
            <w:r>
              <w:rPr>
                <w:b w:val="false"/>
                <w:bCs w:val="false"/>
                <w:sz w:val="18"/>
                <w:szCs w:val="18"/>
              </w:rPr>
              <w:t xml:space="preserve">Rd x (1-tax)</w:t>
            </w:r>
          </w:p>
        </w:tc>
      </w:tr>
      <w:tr>
        <w:tc>
          <w:tcPr>
            <w:tcW w:type="dxa" w:w="3182"/>
          </w:tcPr>
          <w:p>
            <w:r>
              <w:rPr>
                <w:b w:val="false"/>
                <w:bCs w:val="false"/>
                <w:sz w:val="18"/>
                <w:szCs w:val="18"/>
              </w:rPr>
              <w:t xml:space="preserve">E/V</w:t>
            </w:r>
          </w:p>
        </w:tc>
        <w:tc>
          <w:tcPr>
            <w:tcW w:type="dxa" w:w="1685"/>
          </w:tcPr>
          <w:p>
            <w:r>
              <w:rPr>
                <w:b w:val="false"/>
                <w:bCs w:val="false"/>
                <w:sz w:val="18"/>
                <w:szCs w:val="18"/>
              </w:rPr>
              <w:t xml:space="preserve">91.9%</w:t>
            </w:r>
          </w:p>
        </w:tc>
        <w:tc>
          <w:tcPr>
            <w:tcW w:type="dxa" w:w="4493"/>
          </w:tcPr>
          <w:p>
            <w:r>
              <w:rPr>
                <w:b w:val="false"/>
                <w:bCs w:val="false"/>
                <w:sz w:val="18"/>
                <w:szCs w:val="18"/>
              </w:rPr>
              <w:t xml:space="preserve">Market-cap-weighted</w:t>
            </w:r>
          </w:p>
        </w:tc>
      </w:tr>
      <w:tr>
        <w:tc>
          <w:tcPr>
            <w:tcW w:type="dxa" w:w="3182"/>
          </w:tcPr>
          <w:p>
            <w:r>
              <w:rPr>
                <w:b w:val="false"/>
                <w:bCs w:val="false"/>
                <w:sz w:val="18"/>
                <w:szCs w:val="18"/>
              </w:rPr>
              <w:t xml:space="preserve">D/V</w:t>
            </w:r>
          </w:p>
        </w:tc>
        <w:tc>
          <w:tcPr>
            <w:tcW w:type="dxa" w:w="1685"/>
          </w:tcPr>
          <w:p>
            <w:r>
              <w:rPr>
                <w:b w:val="false"/>
                <w:bCs w:val="false"/>
                <w:sz w:val="18"/>
                <w:szCs w:val="18"/>
              </w:rPr>
              <w:t xml:space="preserve">8.1%</w:t>
            </w:r>
          </w:p>
        </w:tc>
        <w:tc>
          <w:tcPr>
            <w:tcW w:type="dxa" w:w="4493"/>
          </w:tcPr>
          <w:p>
            <w:r>
              <w:rPr>
                <w:b w:val="false"/>
                <w:bCs w:val="false"/>
                <w:sz w:val="18"/>
                <w:szCs w:val="18"/>
              </w:rPr>
              <w:t xml:space="preserve">Book-debt-weighted</w:t>
            </w:r>
          </w:p>
        </w:tc>
      </w:tr>
      <w:tr>
        <w:tc>
          <w:tcPr>
            <w:tcW w:type="dxa" w:w="3182"/>
          </w:tcPr>
          <w:p>
            <w:r>
              <w:rPr>
                <w:b w:val="false"/>
                <w:bCs w:val="false"/>
                <w:sz w:val="18"/>
                <w:szCs w:val="18"/>
              </w:rPr>
              <w:t xml:space="preserve">WACC</w:t>
            </w:r>
          </w:p>
        </w:tc>
        <w:tc>
          <w:tcPr>
            <w:tcW w:type="dxa" w:w="1685"/>
          </w:tcPr>
          <w:p>
            <w:r>
              <w:rPr>
                <w:b w:val="false"/>
                <w:bCs w:val="false"/>
                <w:sz w:val="18"/>
                <w:szCs w:val="18"/>
              </w:rPr>
              <w:t xml:space="preserve">~9.65%</w:t>
            </w:r>
          </w:p>
        </w:tc>
        <w:tc>
          <w:tcPr>
            <w:tcW w:type="dxa" w:w="4493"/>
          </w:tcPr>
          <w:p>
            <w:r>
              <w:rPr>
                <w:b w:val="false"/>
                <w:bCs w:val="false"/>
                <w:sz w:val="18"/>
                <w:szCs w:val="18"/>
              </w:rPr>
              <w:t xml:space="preserve">Within typical 8.5-11% US range — no red flag</w:t>
            </w:r>
          </w:p>
        </w:tc>
      </w:tr>
    </w:tbl>
    <w:p>
      <w:pPr>
        <w:pStyle w:val="Heading2"/>
        <w:spacing w:after="120" w:before="250"/>
      </w:pPr>
      <w:r>
        <w:t xml:space="preserve">Bear / Base / Bull (7-year explicit forecast, FY27-FY33, Key Value Driver terminal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2059"/>
        <w:gridCol w:w="2059"/>
        <w:gridCol w:w="2059"/>
      </w:tblGrid>
      <w:tr>
        <w:trPr>
          <w:tblHeader/>
        </w:trPr>
        <w:tc>
          <w:tcPr>
            <w:tcW w:type="dxa" w:w="3182"/>
            <w:shd w:fill="D9E2F3" w:color="auto" w:val="clear"/>
          </w:tcPr>
          <w:p>
            <w:r>
              <w:rPr>
                <w:b/>
                <w:bCs/>
                <w:sz w:val="18"/>
                <w:szCs w:val="18"/>
              </w:rPr>
              <w:t xml:space="preserve"/>
            </w:r>
          </w:p>
        </w:tc>
        <w:tc>
          <w:tcPr>
            <w:tcW w:type="dxa" w:w="2059"/>
            <w:shd w:fill="D9E2F3" w:color="auto" w:val="clear"/>
          </w:tcPr>
          <w:p>
            <w:r>
              <w:rPr>
                <w:b/>
                <w:bCs/>
                <w:sz w:val="18"/>
                <w:szCs w:val="18"/>
              </w:rPr>
              <w:t xml:space="preserve">Bear</w:t>
            </w:r>
          </w:p>
        </w:tc>
        <w:tc>
          <w:tcPr>
            <w:tcW w:type="dxa" w:w="2059"/>
            <w:shd w:fill="D9E2F3" w:color="auto" w:val="clear"/>
          </w:tcPr>
          <w:p>
            <w:r>
              <w:rPr>
                <w:b/>
                <w:bCs/>
                <w:sz w:val="18"/>
                <w:szCs w:val="18"/>
              </w:rPr>
              <w:t xml:space="preserve">Base</w:t>
            </w:r>
          </w:p>
        </w:tc>
        <w:tc>
          <w:tcPr>
            <w:tcW w:type="dxa" w:w="2059"/>
            <w:shd w:fill="D9E2F3" w:color="auto" w:val="clear"/>
          </w:tcPr>
          <w:p>
            <w:r>
              <w:rPr>
                <w:b/>
                <w:bCs/>
                <w:sz w:val="18"/>
                <w:szCs w:val="18"/>
              </w:rPr>
              <w:t xml:space="preserve">Bull</w:t>
            </w:r>
          </w:p>
        </w:tc>
      </w:tr>
      <w:tr>
        <w:tc>
          <w:tcPr>
            <w:tcW w:type="dxa" w:w="3182"/>
          </w:tcPr>
          <w:p>
            <w:r>
              <w:rPr>
                <w:b w:val="false"/>
                <w:bCs w:val="false"/>
                <w:sz w:val="18"/>
                <w:szCs w:val="18"/>
              </w:rPr>
              <w:t xml:space="preserve">Revenue growth (Yr1-&gt;Yr7)</w:t>
            </w:r>
          </w:p>
        </w:tc>
        <w:tc>
          <w:tcPr>
            <w:tcW w:type="dxa" w:w="2059"/>
          </w:tcPr>
          <w:p>
            <w:r>
              <w:rPr>
                <w:b w:val="false"/>
                <w:bCs w:val="false"/>
                <w:sz w:val="18"/>
                <w:szCs w:val="18"/>
              </w:rPr>
              <w:t xml:space="preserve">12%-&gt;3%</w:t>
            </w:r>
          </w:p>
        </w:tc>
        <w:tc>
          <w:tcPr>
            <w:tcW w:type="dxa" w:w="2059"/>
          </w:tcPr>
          <w:p>
            <w:r>
              <w:rPr>
                <w:b w:val="false"/>
                <w:bCs w:val="false"/>
                <w:sz w:val="18"/>
                <w:szCs w:val="18"/>
              </w:rPr>
              <w:t xml:space="preserve">18%-&gt;7%</w:t>
            </w:r>
          </w:p>
        </w:tc>
        <w:tc>
          <w:tcPr>
            <w:tcW w:type="dxa" w:w="2059"/>
          </w:tcPr>
          <w:p>
            <w:r>
              <w:rPr>
                <w:b w:val="false"/>
                <w:bCs w:val="false"/>
                <w:sz w:val="18"/>
                <w:szCs w:val="18"/>
              </w:rPr>
              <w:t xml:space="preserve">22%-&gt;14%</w:t>
            </w:r>
          </w:p>
        </w:tc>
      </w:tr>
      <w:tr>
        <w:tc>
          <w:tcPr>
            <w:tcW w:type="dxa" w:w="3182"/>
          </w:tcPr>
          <w:p>
            <w:r>
              <w:rPr>
                <w:b w:val="false"/>
                <w:bCs w:val="false"/>
                <w:sz w:val="18"/>
                <w:szCs w:val="18"/>
              </w:rPr>
              <w:t xml:space="preserve">Terminal NOPLAT margin</w:t>
            </w:r>
          </w:p>
        </w:tc>
        <w:tc>
          <w:tcPr>
            <w:tcW w:type="dxa" w:w="2059"/>
          </w:tcPr>
          <w:p>
            <w:r>
              <w:rPr>
                <w:b w:val="false"/>
                <w:bCs w:val="false"/>
                <w:sz w:val="18"/>
                <w:szCs w:val="18"/>
              </w:rPr>
              <w:t xml:space="preserve">12%</w:t>
            </w:r>
          </w:p>
        </w:tc>
        <w:tc>
          <w:tcPr>
            <w:tcW w:type="dxa" w:w="2059"/>
          </w:tcPr>
          <w:p>
            <w:r>
              <w:rPr>
                <w:b w:val="false"/>
                <w:bCs w:val="false"/>
                <w:sz w:val="18"/>
                <w:szCs w:val="18"/>
              </w:rPr>
              <w:t xml:space="preserve">22%</w:t>
            </w:r>
          </w:p>
        </w:tc>
        <w:tc>
          <w:tcPr>
            <w:tcW w:type="dxa" w:w="2059"/>
          </w:tcPr>
          <w:p>
            <w:r>
              <w:rPr>
                <w:b w:val="false"/>
                <w:bCs w:val="false"/>
                <w:sz w:val="18"/>
                <w:szCs w:val="18"/>
              </w:rPr>
              <w:t xml:space="preserve">28%</w:t>
            </w:r>
          </w:p>
        </w:tc>
      </w:tr>
      <w:tr>
        <w:tc>
          <w:tcPr>
            <w:tcW w:type="dxa" w:w="3182"/>
          </w:tcPr>
          <w:p>
            <w:r>
              <w:rPr>
                <w:b w:val="false"/>
                <w:bCs w:val="false"/>
                <w:sz w:val="18"/>
                <w:szCs w:val="18"/>
              </w:rPr>
              <w:t xml:space="preserve">Terminal ROIC</w:t>
            </w:r>
          </w:p>
        </w:tc>
        <w:tc>
          <w:tcPr>
            <w:tcW w:type="dxa" w:w="2059"/>
          </w:tcPr>
          <w:p>
            <w:r>
              <w:rPr>
                <w:b w:val="false"/>
                <w:bCs w:val="false"/>
                <w:sz w:val="18"/>
                <w:szCs w:val="18"/>
              </w:rPr>
              <w:t xml:space="preserve">8.65% (WACC-1%)</w:t>
            </w:r>
          </w:p>
        </w:tc>
        <w:tc>
          <w:tcPr>
            <w:tcW w:type="dxa" w:w="2059"/>
          </w:tcPr>
          <w:p>
            <w:r>
              <w:rPr>
                <w:b w:val="false"/>
                <w:bCs w:val="false"/>
                <w:sz w:val="18"/>
                <w:szCs w:val="18"/>
              </w:rPr>
              <w:t xml:space="preserve">14%</w:t>
            </w:r>
          </w:p>
        </w:tc>
        <w:tc>
          <w:tcPr>
            <w:tcW w:type="dxa" w:w="2059"/>
          </w:tcPr>
          <w:p>
            <w:r>
              <w:rPr>
                <w:b w:val="false"/>
                <w:bCs w:val="false"/>
                <w:sz w:val="18"/>
                <w:szCs w:val="18"/>
              </w:rPr>
              <w:t xml:space="preserve">12.65% (WACC+3%)</w:t>
            </w:r>
          </w:p>
        </w:tc>
      </w:tr>
      <w:tr>
        <w:tc>
          <w:tcPr>
            <w:tcW w:type="dxa" w:w="3182"/>
          </w:tcPr>
          <w:p>
            <w:r>
              <w:rPr>
                <w:b w:val="false"/>
                <w:bCs w:val="false"/>
                <w:sz w:val="18"/>
                <w:szCs w:val="18"/>
              </w:rPr>
              <w:t xml:space="preserve">Per-share value</w:t>
            </w:r>
          </w:p>
        </w:tc>
        <w:tc>
          <w:tcPr>
            <w:tcW w:type="dxa" w:w="2059"/>
          </w:tcPr>
          <w:p>
            <w:r>
              <w:rPr>
                <w:b w:val="false"/>
                <w:bCs w:val="false"/>
                <w:sz w:val="18"/>
                <w:szCs w:val="18"/>
              </w:rPr>
              <w:t xml:space="preserve">$30.49</w:t>
            </w:r>
          </w:p>
        </w:tc>
        <w:tc>
          <w:tcPr>
            <w:tcW w:type="dxa" w:w="2059"/>
          </w:tcPr>
          <w:p>
            <w:r>
              <w:rPr>
                <w:b w:val="false"/>
                <w:bCs w:val="false"/>
                <w:sz w:val="18"/>
                <w:szCs w:val="18"/>
              </w:rPr>
              <w:t xml:space="preserve">$92.10</w:t>
            </w:r>
          </w:p>
        </w:tc>
        <w:tc>
          <w:tcPr>
            <w:tcW w:type="dxa" w:w="2059"/>
          </w:tcPr>
          <w:p>
            <w:r>
              <w:rPr>
                <w:b w:val="false"/>
                <w:bCs w:val="false"/>
                <w:sz w:val="18"/>
                <w:szCs w:val="18"/>
              </w:rPr>
              <w:t xml:space="preserve">$152.89</w:t>
            </w:r>
          </w:p>
        </w:tc>
      </w:tr>
      <w:tr>
        <w:tc>
          <w:tcPr>
            <w:tcW w:type="dxa" w:w="3182"/>
          </w:tcPr>
          <w:p>
            <w:r>
              <w:rPr>
                <w:b w:val="false"/>
                <w:bCs w:val="false"/>
                <w:sz w:val="18"/>
                <w:szCs w:val="18"/>
              </w:rPr>
              <w:t xml:space="preserve">TV % of EV</w:t>
            </w:r>
          </w:p>
        </w:tc>
        <w:tc>
          <w:tcPr>
            <w:tcW w:type="dxa" w:w="2059"/>
          </w:tcPr>
          <w:p>
            <w:r>
              <w:rPr>
                <w:b w:val="false"/>
                <w:bCs w:val="false"/>
                <w:sz w:val="18"/>
                <w:szCs w:val="18"/>
              </w:rPr>
              <w:t xml:space="preserve">76.6%</w:t>
            </w:r>
          </w:p>
        </w:tc>
        <w:tc>
          <w:tcPr>
            <w:tcW w:type="dxa" w:w="2059"/>
          </w:tcPr>
          <w:p>
            <w:r>
              <w:rPr>
                <w:b w:val="false"/>
                <w:bCs w:val="false"/>
                <w:sz w:val="18"/>
                <w:szCs w:val="18"/>
              </w:rPr>
              <w:t xml:space="preserve">88.1%</w:t>
            </w:r>
          </w:p>
        </w:tc>
        <w:tc>
          <w:tcPr>
            <w:tcW w:type="dxa" w:w="2059"/>
          </w:tcPr>
          <w:p>
            <w:r>
              <w:rPr>
                <w:b w:val="false"/>
                <w:bCs w:val="false"/>
                <w:sz w:val="18"/>
                <w:szCs w:val="18"/>
              </w:rPr>
              <w:t xml:space="preserve">95.8%</w:t>
            </w:r>
          </w:p>
        </w:tc>
      </w:tr>
    </w:tbl>
    <w:p>
      <w:pPr>
        <w:spacing w:after="120"/>
      </w:pPr>
      <w:r>
        <w:rPr>
          <w:b/>
          <w:bCs/>
        </w:rPr>
        <w:t xml:space="preserve">MoS Gate: BASE. </w:t>
      </w:r>
      <w:r>
        <w:t xml:space="preserve">Current price ($71.16) sits above Bear ($30.49) but below Base ($92.10) — the price clears the Base-case threshold, not Bear. This licenses at most a QUALITY conviction label (not COMPOUNDER), contingent on the Compounder screen (Section 9). Sanity check: the Bull-case value ($152.89) is close to the analyst Street-high target ($150) cited in Section 0.</w:t>
      </w:r>
    </w:p>
    <w:p>
      <w:pPr>
        <w:pStyle w:val="Heading1"/>
        <w:spacing w:after="150" w:before="300"/>
      </w:pPr>
      <w:r>
        <w:t xml:space="preserve">6. Mauboussin — Price-Implied Expectations</w:t>
      </w:r>
    </w:p>
    <w:p>
      <w:pPr>
        <w:spacing w:after="120"/>
      </w:pPr>
      <w:r>
        <w:t xml:space="preserve">At WACC 9.65% and Base-case terminal assumptions, today's $71.16 sits meaningfully below the Base case ($92.10) — a genuinely different signal from both LITE and MU (priced above their own Bull cases in earlier reports this session). The price is consistent with something between the Bear and Base scenarios — the market appears to be actively, not naively, discounting real probability-weighted AV-disintermediation risk, rather than ignoring it.</w:t>
      </w:r>
    </w:p>
    <w:p>
      <w:pPr>
        <w:spacing w:after="120"/>
      </w:pPr>
      <w:r>
        <w:rPr>
          <w:b/>
          <w:bCs/>
        </w:rPr>
        <w:t xml:space="preserve">Moat type and CAP: </w:t>
      </w:r>
      <w:r>
        <w:t xml:space="preserve">The central claim is network effects (the most durable moat type per the framework's hierarchy) — more riders attract more drivers, improving wait times, attracting more riders; similarly for Delivery. Q2 2026 data support this being live: MAPCs +15.6% YoY and drivers/couriers +19% YoY (FY2025) — both sides growing together.</w:t>
      </w:r>
    </w:p>
    <w:p>
      <w:pPr>
        <w:spacing w:after="120"/>
      </w:pPr>
      <w:r>
        <w:t xml:space="preserve">However, the Waymo development in Section 0 is a direct, confirmed, dated test of this moat's durability: if the largest, most technologically mature AV operator can profitably exit Uber's marketplace and go direct-to-consumer in two markets by January 2028 — and simultaneously ink a non-exclusive deal with Lyft — the network-effect moat is conditional on Uber remaining the best distribution channel for AV operators, not structurally guaranteed. The AV "supply side" is a small number of capital-intensive fleet operators, not millions of individual gig drivers who lack the resources to build their own consumer app — and Waymo has now demonstrated it will build its own app once scale justifies it.</w:t>
      </w:r>
    </w:p>
    <w:p>
      <w:pPr>
        <w:spacing w:after="120"/>
      </w:pPr>
      <w:r>
        <w:rPr>
          <w:b/>
          <w:bCs/>
        </w:rPr>
        <w:t xml:space="preserve">CAP is set at a Wide-but-conditional 8 years</w:t>
      </w:r>
      <w:r>
        <w:t xml:space="preserve"> (top of "Narrow moat" / bottom of "Wide moat") for the Base case, rather than the "Exceptional moat, 15-20+ years" tier a pure network-effects read might otherwise suggest — the confirmed Waymo defection is treated as real evidence against the longer CAP, not a footnote.</w:t>
      </w:r>
    </w:p>
    <w:p>
      <w:pPr>
        <w:spacing w:after="120"/>
      </w:pPr>
      <w:r>
        <w:t xml:space="preserve">What has to be true for the Base case ($92.10) to be right: driver/rider network liquidity keeps compounding (supported by current data), Uber's own AV-aggregator bets (up to ~85,000 vehicles committed across Lucid/Nuro and Rivian) scale to offset further Waymo-style defections, and Adjusted EBITDA margin continues its expansion path toward the Base case's 22% terminal NOPLAT margin. None of these are exotic relative to the last two years of actual results.</w:t>
      </w:r>
    </w:p>
    <w:p>
      <w:pPr>
        <w:pStyle w:val="Heading1"/>
        <w:spacing w:after="150" w:before="300"/>
      </w:pPr>
      <w:r>
        <w:t xml:space="preserve">7. Fisher — Qualitative Checklist</w:t>
      </w:r>
    </w:p>
    <w:p>
      <w:pPr>
        <w:pStyle w:val="ListParagraph"/>
        <w:numPr>
          <w:ilvl w:val="0"/>
          <w:numId w:val="1"/>
        </w:numPr>
        <w:spacing w:after="80"/>
      </w:pPr>
      <w:r>
        <w:t xml:space="preserve">#5/#6 (margins): Positive — Adjusted EBITDA margin trend clearly improving (~16.7%-&gt;~19.8% of revenue); GAAP operating income improving quarterly, though full-year GAAP margin trend isn't cleanly reconstructable.</w:t>
      </w:r>
    </w:p>
    <w:p>
      <w:pPr>
        <w:pStyle w:val="ListParagraph"/>
        <w:numPr>
          <w:ilvl w:val="0"/>
          <w:numId w:val="1"/>
        </w:numPr>
        <w:spacing w:after="80"/>
      </w:pPr>
      <w:r>
        <w:t xml:space="preserve">#11 (competitive edge): Genuinely two-sided — real network-effects scale (208M MAPCs, 9.7M drivers/couriers, both growing) is a positive; the Waymo defection is direct, sourced evidence this edge is not unconditional.</w:t>
      </w:r>
    </w:p>
    <w:p>
      <w:pPr>
        <w:pStyle w:val="ListParagraph"/>
        <w:numPr>
          <w:ilvl w:val="0"/>
          <w:numId w:val="1"/>
        </w:numPr>
        <w:spacing w:after="80"/>
      </w:pPr>
      <w:r>
        <w:t xml:space="preserve">#13 (dilution): Positive — net share-count reduction (-2.28%/yr) via a $27B buyback authorization, funded from FCF, not equity issuance.</w:t>
      </w:r>
    </w:p>
    <w:p>
      <w:pPr>
        <w:pStyle w:val="ListParagraph"/>
        <w:numPr>
          <w:ilvl w:val="0"/>
          <w:numId w:val="1"/>
        </w:numPr>
        <w:spacing w:after="80"/>
      </w:pPr>
      <w:r>
        <w:t xml:space="preserve">#15 (management integrity/disclosure): Positive and unusually concrete — CEO's first open-market purchase since May 2022, plus COO buying, both into AV-fear weakness rather than at a high; a candid, well-telegraphed restructuring framed around efficiency, not distress.</w:t>
      </w:r>
    </w:p>
    <w:p>
      <w:pPr>
        <w:pStyle w:val="Heading1"/>
        <w:spacing w:after="150" w:before="300"/>
      </w:pPr>
      <w:r>
        <w:t xml:space="preserve">8. Ilmanen — Factor Read</w:t>
      </w:r>
    </w:p>
    <w:p>
      <w:pPr>
        <w:pStyle w:val="ListParagraph"/>
        <w:numPr>
          <w:ilvl w:val="0"/>
          <w:numId w:val="1"/>
        </w:numPr>
        <w:spacing w:after="80"/>
      </w:pPr>
      <w:r>
        <w:t xml:space="preserve">Value: Present, moderate — EV/Revenue TTM ~2.77x, EV/GMV TTM ~0.72x (lower end of typical marketplace-platform ranges); the DCF's MoS Gate clearing Base case is itself a value signal, distinct from LITE/MU.</w:t>
      </w:r>
    </w:p>
    <w:p>
      <w:pPr>
        <w:pStyle w:val="ListParagraph"/>
        <w:numPr>
          <w:ilvl w:val="0"/>
          <w:numId w:val="1"/>
        </w:numPr>
        <w:spacing w:after="80"/>
      </w:pPr>
      <w:r>
        <w:t xml:space="preserve">Quality/Profitability: Improving but noisy — clean Adj EBITDA/FCF trends, but GAAP net-income history dominated by non-operating items muddies a clean read.</w:t>
      </w:r>
    </w:p>
    <w:p>
      <w:pPr>
        <w:pStyle w:val="ListParagraph"/>
        <w:numPr>
          <w:ilvl w:val="0"/>
          <w:numId w:val="1"/>
        </w:numPr>
        <w:spacing w:after="80"/>
      </w:pPr>
      <w:r>
        <w:t xml:space="preserve">Momentum: Negative/absent — stock down ~30% from its 52-week high, near its low.</w:t>
      </w:r>
    </w:p>
    <w:p>
      <w:pPr>
        <w:pStyle w:val="ListParagraph"/>
        <w:numPr>
          <w:ilvl w:val="0"/>
          <w:numId w:val="1"/>
        </w:numPr>
        <w:spacing w:after="80"/>
      </w:pPr>
      <w:r>
        <w:t xml:space="preserve">Low Beta/Defensive: Mixed — beta 1.15 is only modestly above market, not high-beta, but not genuinely defensive given ongoing AV-competitive uncertainty.</w:t>
      </w:r>
    </w:p>
    <w:p>
      <w:pPr>
        <w:spacing w:after="120"/>
      </w:pPr>
      <w:r>
        <w:rPr>
          <w:b/>
          <w:bCs/>
        </w:rPr>
        <w:t xml:space="preserve">Combined signal: </w:t>
      </w:r>
      <w:r>
        <w:t xml:space="preserve">a genuine value + quality overlap with negative momentum — the inverse of LITE's and MU's "momentum-only, no value support" profile. Cheap+quality without momentum confirmation is a real but higher-near-term-risk setup; the insider buying in Section 0 is relevant but not conclusive.</w:t>
      </w:r>
    </w:p>
    <w:p>
      <w:pPr>
        <w:pStyle w:val="Heading1"/>
        <w:spacing w:after="150" w:before="300"/>
      </w:pPr>
      <w:r>
        <w:t xml:space="preserve">9. Quality Compounder Screen (Framework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685"/>
        <w:gridCol w:w="4867"/>
      </w:tblGrid>
      <w:tr>
        <w:trPr>
          <w:tblHeader/>
        </w:trPr>
        <w:tc>
          <w:tcPr>
            <w:tcW w:type="dxa" w:w="2808"/>
            <w:shd w:fill="D9E2F3" w:color="auto" w:val="clear"/>
          </w:tcPr>
          <w:p>
            <w:r>
              <w:rPr>
                <w:b/>
                <w:bCs/>
                <w:sz w:val="18"/>
                <w:szCs w:val="18"/>
              </w:rPr>
              <w:t xml:space="preserve">Criterion</w:t>
            </w:r>
          </w:p>
        </w:tc>
        <w:tc>
          <w:tcPr>
            <w:tcW w:type="dxa" w:w="1685"/>
            <w:shd w:fill="D9E2F3" w:color="auto" w:val="clear"/>
          </w:tcPr>
          <w:p>
            <w:r>
              <w:rPr>
                <w:b/>
                <w:bCs/>
                <w:sz w:val="18"/>
                <w:szCs w:val="18"/>
              </w:rPr>
              <w:t xml:space="preserve">Result</w:t>
            </w:r>
          </w:p>
        </w:tc>
        <w:tc>
          <w:tcPr>
            <w:tcW w:type="dxa" w:w="4867"/>
            <w:shd w:fill="D9E2F3" w:color="auto" w:val="clear"/>
          </w:tcPr>
          <w:p>
            <w:r>
              <w:rPr>
                <w:b/>
                <w:bCs/>
                <w:sz w:val="18"/>
                <w:szCs w:val="18"/>
              </w:rPr>
              <w:t xml:space="preserve">Evidence</w:t>
            </w:r>
          </w:p>
        </w:tc>
      </w:tr>
      <w:tr>
        <w:tc>
          <w:tcPr>
            <w:tcW w:type="dxa" w:w="2808"/>
          </w:tcPr>
          <w:p>
            <w:r>
              <w:rPr>
                <w:b w:val="false"/>
                <w:bCs w:val="false"/>
                <w:sz w:val="18"/>
                <w:szCs w:val="18"/>
              </w:rPr>
              <w:t xml:space="preserve">ROIC 5-yr avg &gt; 15%</w:t>
            </w:r>
          </w:p>
        </w:tc>
        <w:tc>
          <w:tcPr>
            <w:tcW w:type="dxa" w:w="1685"/>
          </w:tcPr>
          <w:p>
            <w:r>
              <w:rPr>
                <w:b w:val="false"/>
                <w:bCs w:val="false"/>
                <w:sz w:val="18"/>
                <w:szCs w:val="18"/>
              </w:rPr>
              <w:t xml:space="preserve">FLAG</w:t>
            </w:r>
          </w:p>
        </w:tc>
        <w:tc>
          <w:tcPr>
            <w:tcW w:type="dxa" w:w="4867"/>
          </w:tcPr>
          <w:p>
            <w:r>
              <w:rPr>
                <w:b w:val="false"/>
                <w:bCs w:val="false"/>
                <w:sz w:val="18"/>
                <w:szCs w:val="18"/>
              </w:rPr>
              <w:t xml:space="preserve">2021-2022 deep-loss years drag a clean 5-yr average well below 15% despite recent strength</w:t>
            </w:r>
          </w:p>
        </w:tc>
      </w:tr>
      <w:tr>
        <w:tc>
          <w:tcPr>
            <w:tcW w:type="dxa" w:w="2808"/>
          </w:tcPr>
          <w:p>
            <w:r>
              <w:rPr>
                <w:b w:val="false"/>
                <w:bCs w:val="false"/>
                <w:sz w:val="18"/>
                <w:szCs w:val="18"/>
              </w:rPr>
              <w:t xml:space="preserve">ROIC trend stable/improving</w:t>
            </w:r>
          </w:p>
        </w:tc>
        <w:tc>
          <w:tcPr>
            <w:tcW w:type="dxa" w:w="1685"/>
          </w:tcPr>
          <w:p>
            <w:r>
              <w:rPr>
                <w:b w:val="false"/>
                <w:bCs w:val="false"/>
                <w:sz w:val="18"/>
                <w:szCs w:val="18"/>
              </w:rPr>
              <w:t xml:space="preserve">PASS</w:t>
            </w:r>
          </w:p>
        </w:tc>
        <w:tc>
          <w:tcPr>
            <w:tcW w:type="dxa" w:w="4867"/>
          </w:tcPr>
          <w:p>
            <w:r>
              <w:rPr>
                <w:b w:val="false"/>
                <w:bCs w:val="false"/>
                <w:sz w:val="18"/>
                <w:szCs w:val="18"/>
              </w:rPr>
              <w:t xml:space="preserve">Monotonic multi-year improvement from FY22 losses to FY23-25 profitability and record Q4 2025 GAAP operating income</w:t>
            </w:r>
          </w:p>
        </w:tc>
      </w:tr>
      <w:tr>
        <w:tc>
          <w:tcPr>
            <w:tcW w:type="dxa" w:w="2808"/>
          </w:tcPr>
          <w:p>
            <w:r>
              <w:rPr>
                <w:b w:val="false"/>
                <w:bCs w:val="false"/>
                <w:sz w:val="18"/>
                <w:szCs w:val="18"/>
              </w:rPr>
              <w:t xml:space="preserve">Operating margin &gt; 15%</w:t>
            </w:r>
          </w:p>
        </w:tc>
        <w:tc>
          <w:tcPr>
            <w:tcW w:type="dxa" w:w="1685"/>
          </w:tcPr>
          <w:p>
            <w:r>
              <w:rPr>
                <w:b w:val="false"/>
                <w:bCs w:val="false"/>
                <w:sz w:val="18"/>
                <w:szCs w:val="18"/>
              </w:rPr>
              <w:t xml:space="preserve">FLAG</w:t>
            </w:r>
          </w:p>
        </w:tc>
        <w:tc>
          <w:tcPr>
            <w:tcW w:type="dxa" w:w="4867"/>
          </w:tcPr>
          <w:p>
            <w:r>
              <w:rPr>
                <w:b w:val="false"/>
                <w:bCs w:val="false"/>
                <w:sz w:val="18"/>
                <w:szCs w:val="18"/>
              </w:rPr>
              <w:t xml:space="preserve">Adj EBITDA margin (~19.8% Q2'26) clears 15%, but full-year GAAP operating margin not clearly confirmed above 15%</w:t>
            </w:r>
          </w:p>
        </w:tc>
      </w:tr>
      <w:tr>
        <w:tc>
          <w:tcPr>
            <w:tcW w:type="dxa" w:w="2808"/>
          </w:tcPr>
          <w:p>
            <w:r>
              <w:rPr>
                <w:b w:val="false"/>
                <w:bCs w:val="false"/>
                <w:sz w:val="18"/>
                <w:szCs w:val="18"/>
              </w:rPr>
              <w:t xml:space="preserve">FCF conversion (FCF/NI) &gt; 80%</w:t>
            </w:r>
          </w:p>
        </w:tc>
        <w:tc>
          <w:tcPr>
            <w:tcW w:type="dxa" w:w="1685"/>
          </w:tcPr>
          <w:p>
            <w:r>
              <w:rPr>
                <w:b w:val="false"/>
                <w:bCs w:val="false"/>
                <w:sz w:val="18"/>
                <w:szCs w:val="18"/>
              </w:rPr>
              <w:t xml:space="preserve">PASS (mechanical)</w:t>
            </w:r>
          </w:p>
        </w:tc>
        <w:tc>
          <w:tcPr>
            <w:tcW w:type="dxa" w:w="4867"/>
          </w:tcPr>
          <w:p>
            <w:r>
              <w:rPr>
                <w:b w:val="false"/>
                <w:bCs w:val="false"/>
                <w:sz w:val="18"/>
                <w:szCs w:val="18"/>
              </w:rPr>
              <w:t xml:space="preserve">FY25 FCF $9.8B / NI ~$10.1B ~= 97% — read alongside Section 4's NI-quality caveat, not in isolation</w:t>
            </w:r>
          </w:p>
        </w:tc>
      </w:tr>
      <w:tr>
        <w:tc>
          <w:tcPr>
            <w:tcW w:type="dxa" w:w="2808"/>
          </w:tcPr>
          <w:p>
            <w:r>
              <w:rPr>
                <w:b w:val="false"/>
                <w:bCs w:val="false"/>
                <w:sz w:val="18"/>
                <w:szCs w:val="18"/>
              </w:rPr>
              <w:t xml:space="preserve">CapEx intensity &lt; 10%</w:t>
            </w:r>
          </w:p>
        </w:tc>
        <w:tc>
          <w:tcPr>
            <w:tcW w:type="dxa" w:w="1685"/>
          </w:tcPr>
          <w:p>
            <w:r>
              <w:rPr>
                <w:b w:val="false"/>
                <w:bCs w:val="false"/>
                <w:sz w:val="18"/>
                <w:szCs w:val="18"/>
              </w:rPr>
              <w:t xml:space="preserve">PASS (qualitative)</w:t>
            </w:r>
          </w:p>
        </w:tc>
        <w:tc>
          <w:tcPr>
            <w:tcW w:type="dxa" w:w="4867"/>
          </w:tcPr>
          <w:p>
            <w:r>
              <w:rPr>
                <w:b w:val="false"/>
                <w:bCs w:val="false"/>
                <w:sz w:val="18"/>
                <w:szCs w:val="18"/>
              </w:rPr>
              <w:t xml:space="preserve">Structurally asset-light (no owned vehicle fleet); specific capex/revenue not sourced this pass</w:t>
            </w:r>
          </w:p>
        </w:tc>
      </w:tr>
      <w:tr>
        <w:tc>
          <w:tcPr>
            <w:tcW w:type="dxa" w:w="2808"/>
          </w:tcPr>
          <w:p>
            <w:r>
              <w:rPr>
                <w:b w:val="false"/>
                <w:bCs w:val="false"/>
                <w:sz w:val="18"/>
                <w:szCs w:val="18"/>
              </w:rPr>
              <w:t xml:space="preserve">Self-funded growth</w:t>
            </w:r>
          </w:p>
        </w:tc>
        <w:tc>
          <w:tcPr>
            <w:tcW w:type="dxa" w:w="1685"/>
          </w:tcPr>
          <w:p>
            <w:r>
              <w:rPr>
                <w:b w:val="false"/>
                <w:bCs w:val="false"/>
                <w:sz w:val="18"/>
                <w:szCs w:val="18"/>
              </w:rPr>
              <w:t xml:space="preserve">PASS</w:t>
            </w:r>
          </w:p>
        </w:tc>
        <w:tc>
          <w:tcPr>
            <w:tcW w:type="dxa" w:w="4867"/>
          </w:tcPr>
          <w:p>
            <w:r>
              <w:rPr>
                <w:b w:val="false"/>
                <w:bCs w:val="false"/>
                <w:sz w:val="18"/>
                <w:szCs w:val="18"/>
              </w:rPr>
              <w:t xml:space="preserve">Net share-count reduction (-2.28%/yr) via FCF-funded buybacks — clearest positive in this screen</w:t>
            </w:r>
          </w:p>
        </w:tc>
      </w:tr>
      <w:tr>
        <w:tc>
          <w:tcPr>
            <w:tcW w:type="dxa" w:w="2808"/>
          </w:tcPr>
          <w:p>
            <w:r>
              <w:rPr>
                <w:b w:val="false"/>
                <w:bCs w:val="false"/>
                <w:sz w:val="18"/>
                <w:szCs w:val="18"/>
              </w:rPr>
              <w:t xml:space="preserve">Mgmt equity ownership</w:t>
            </w:r>
          </w:p>
        </w:tc>
        <w:tc>
          <w:tcPr>
            <w:tcW w:type="dxa" w:w="1685"/>
          </w:tcPr>
          <w:p>
            <w:r>
              <w:rPr>
                <w:b w:val="false"/>
                <w:bCs w:val="false"/>
                <w:sz w:val="18"/>
                <w:szCs w:val="18"/>
              </w:rPr>
              <w:t xml:space="preserve">Not scored</w:t>
            </w:r>
          </w:p>
        </w:tc>
        <w:tc>
          <w:tcPr>
            <w:tcW w:type="dxa" w:w="4867"/>
          </w:tcPr>
          <w:p>
            <w:r>
              <w:rPr>
                <w:b w:val="false"/>
                <w:bCs w:val="false"/>
                <w:sz w:val="18"/>
                <w:szCs w:val="18"/>
              </w:rPr>
              <w:t xml:space="preserve">Ownership % not sourced; the $15-17M CEO+COO buying is captured under Fisher #15, not double-counted</w:t>
            </w:r>
          </w:p>
        </w:tc>
      </w:tr>
      <w:tr>
        <w:tc>
          <w:tcPr>
            <w:tcW w:type="dxa" w:w="2808"/>
          </w:tcPr>
          <w:p>
            <w:r>
              <w:rPr>
                <w:b w:val="false"/>
                <w:bCs w:val="false"/>
                <w:sz w:val="18"/>
                <w:szCs w:val="18"/>
              </w:rPr>
              <w:t xml:space="preserve">Buyback discipline</w:t>
            </w:r>
          </w:p>
        </w:tc>
        <w:tc>
          <w:tcPr>
            <w:tcW w:type="dxa" w:w="1685"/>
          </w:tcPr>
          <w:p>
            <w:r>
              <w:rPr>
                <w:b w:val="false"/>
                <w:bCs w:val="false"/>
                <w:sz w:val="18"/>
                <w:szCs w:val="18"/>
              </w:rPr>
              <w:t xml:space="preserve">PASS (qualitative)</w:t>
            </w:r>
          </w:p>
        </w:tc>
        <w:tc>
          <w:tcPr>
            <w:tcW w:type="dxa" w:w="4867"/>
          </w:tcPr>
          <w:p>
            <w:r>
              <w:rPr>
                <w:b w:val="false"/>
                <w:bCs w:val="false"/>
                <w:sz w:val="18"/>
                <w:szCs w:val="18"/>
              </w:rPr>
              <w:t xml:space="preserve">Buybacks and insider buying both into a ~30%-off-high decline, not at cycle highs</w:t>
            </w:r>
          </w:p>
        </w:tc>
      </w:tr>
      <w:tr>
        <w:tc>
          <w:tcPr>
            <w:tcW w:type="dxa" w:w="2808"/>
          </w:tcPr>
          <w:p>
            <w:r>
              <w:rPr>
                <w:b w:val="false"/>
                <w:bCs w:val="false"/>
                <w:sz w:val="18"/>
                <w:szCs w:val="18"/>
              </w:rPr>
              <w:t xml:space="preserve">M&amp;A discipline</w:t>
            </w:r>
          </w:p>
        </w:tc>
        <w:tc>
          <w:tcPr>
            <w:tcW w:type="dxa" w:w="1685"/>
          </w:tcPr>
          <w:p>
            <w:r>
              <w:rPr>
                <w:b w:val="false"/>
                <w:bCs w:val="false"/>
                <w:sz w:val="18"/>
                <w:szCs w:val="18"/>
              </w:rPr>
              <w:t xml:space="preserve">Not scored</w:t>
            </w:r>
          </w:p>
        </w:tc>
        <w:tc>
          <w:tcPr>
            <w:tcW w:type="dxa" w:w="4867"/>
          </w:tcPr>
          <w:p>
            <w:r>
              <w:rPr>
                <w:b w:val="false"/>
                <w:bCs w:val="false"/>
                <w:sz w:val="18"/>
                <w:szCs w:val="18"/>
              </w:rPr>
              <w:t xml:space="preserve">No material M&amp;A activity surfaced this pass</w:t>
            </w:r>
          </w:p>
        </w:tc>
      </w:tr>
    </w:tbl>
    <w:p>
      <w:pPr>
        <w:spacing w:after="120"/>
      </w:pPr>
      <w:r>
        <w:rPr>
          <w:b/>
          <w:bCs/>
        </w:rPr>
        <w:t xml:space="preserve">Count: 5 pass / 2 flag / 2 not scored (of 9). Verdict: QUALITY.</w:t>
      </w:r>
      <w:r>
        <w:t xml:space="preserve"> Consistent with, not contradicted by, the MoS Gate = BASE finding — a business that clears the Base-case DCF price and scores in the middle band of the Compounder screen is exactly the QUALITY profile: a good business, not (yet, or not provably) a structural compounder, but one where the current price does not require heroic assumptions.</w:t>
      </w:r>
    </w:p>
    <w:p>
      <w:pPr>
        <w:pStyle w:val="Heading1"/>
        <w:spacing w:after="150" w:before="300"/>
      </w:pPr>
      <w:r>
        <w:t xml:space="preserve">10. Sector Appendix — Marketplaces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246"/>
        <w:gridCol w:w="2621"/>
        <w:gridCol w:w="2246"/>
      </w:tblGrid>
      <w:tr>
        <w:trPr>
          <w:tblHeader/>
        </w:trPr>
        <w:tc>
          <w:tcPr>
            <w:tcW w:type="dxa" w:w="2246"/>
            <w:shd w:fill="D9E2F3" w:color="auto" w:val="clear"/>
          </w:tcPr>
          <w:p>
            <w:r>
              <w:rPr>
                <w:b/>
                <w:bCs/>
                <w:sz w:val="18"/>
                <w:szCs w:val="18"/>
              </w:rPr>
              <w:t xml:space="preserve">Metric</w:t>
            </w:r>
          </w:p>
        </w:tc>
        <w:tc>
          <w:tcPr>
            <w:tcW w:type="dxa" w:w="2246"/>
            <w:shd w:fill="D9E2F3" w:color="auto" w:val="clear"/>
          </w:tcPr>
          <w:p>
            <w:r>
              <w:rPr>
                <w:b/>
                <w:bCs/>
                <w:sz w:val="18"/>
                <w:szCs w:val="18"/>
              </w:rPr>
              <w:t xml:space="preserve">UBER actual</w:t>
            </w:r>
          </w:p>
        </w:tc>
        <w:tc>
          <w:tcPr>
            <w:tcW w:type="dxa" w:w="2621"/>
            <w:shd w:fill="D9E2F3" w:color="auto" w:val="clear"/>
          </w:tcPr>
          <w:p>
            <w:r>
              <w:rPr>
                <w:b/>
                <w:bCs/>
                <w:sz w:val="18"/>
                <w:szCs w:val="18"/>
              </w:rPr>
              <w:t xml:space="preserve">Benchmark</w:t>
            </w:r>
          </w:p>
        </w:tc>
        <w:tc>
          <w:tcPr>
            <w:tcW w:type="dxa" w:w="2246"/>
            <w:shd w:fill="D9E2F3" w:color="auto" w:val="clear"/>
          </w:tcPr>
          <w:p>
            <w:r>
              <w:rPr>
                <w:b/>
                <w:bCs/>
                <w:sz w:val="18"/>
                <w:szCs w:val="18"/>
              </w:rPr>
              <w:t xml:space="preserve">Read</w:t>
            </w:r>
          </w:p>
        </w:tc>
      </w:tr>
      <w:tr>
        <w:tc>
          <w:tcPr>
            <w:tcW w:type="dxa" w:w="2246"/>
          </w:tcPr>
          <w:p>
            <w:r>
              <w:rPr>
                <w:b w:val="false"/>
                <w:bCs w:val="false"/>
                <w:sz w:val="18"/>
                <w:szCs w:val="18"/>
              </w:rPr>
              <w:t xml:space="preserve">GMV (gross bookings) growth</w:t>
            </w:r>
          </w:p>
        </w:tc>
        <w:tc>
          <w:tcPr>
            <w:tcW w:type="dxa" w:w="2246"/>
          </w:tcPr>
          <w:p>
            <w:r>
              <w:rPr>
                <w:b w:val="false"/>
                <w:bCs w:val="false"/>
                <w:sz w:val="18"/>
                <w:szCs w:val="18"/>
              </w:rPr>
              <w:t xml:space="preserve">TTM ~+18-20% [derived]; Q2'26 +22-24% YoY</w:t>
            </w:r>
          </w:p>
        </w:tc>
        <w:tc>
          <w:tcPr>
            <w:tcW w:type="dxa" w:w="2621"/>
          </w:tcPr>
          <w:p>
            <w:r>
              <w:rPr>
                <w:b w:val="false"/>
                <w:bCs w:val="false"/>
                <w:sz w:val="18"/>
                <w:szCs w:val="18"/>
              </w:rPr>
              <w:t xml:space="preserve">&gt;25% strong / 10-25% acceptable / &lt;10% flag</w:t>
            </w:r>
          </w:p>
        </w:tc>
        <w:tc>
          <w:tcPr>
            <w:tcW w:type="dxa" w:w="2246"/>
          </w:tcPr>
          <w:p>
            <w:r>
              <w:rPr>
                <w:b w:val="false"/>
                <w:bCs w:val="false"/>
                <w:sz w:val="18"/>
                <w:szCs w:val="18"/>
              </w:rPr>
              <w:t xml:space="preserve">Acceptable-to-strong, decelerating but not flagging</w:t>
            </w:r>
          </w:p>
        </w:tc>
      </w:tr>
      <w:tr>
        <w:tc>
          <w:tcPr>
            <w:tcW w:type="dxa" w:w="2246"/>
          </w:tcPr>
          <w:p>
            <w:r>
              <w:rPr>
                <w:b w:val="false"/>
                <w:bCs w:val="false"/>
                <w:sz w:val="18"/>
                <w:szCs w:val="18"/>
              </w:rPr>
              <w:t xml:space="preserve">Take rate</w:t>
            </w:r>
          </w:p>
        </w:tc>
        <w:tc>
          <w:tcPr>
            <w:tcW w:type="dxa" w:w="2246"/>
          </w:tcPr>
          <w:p>
            <w:r>
              <w:rPr>
                <w:b w:val="false"/>
                <w:bCs w:val="false"/>
                <w:sz w:val="18"/>
                <w:szCs w:val="18"/>
              </w:rPr>
              <w:t xml:space="preserve">~27% (FY23-25 stable) -&gt; ~25.9% TTM</w:t>
            </w:r>
          </w:p>
        </w:tc>
        <w:tc>
          <w:tcPr>
            <w:tcW w:type="dxa" w:w="2621"/>
          </w:tcPr>
          <w:p>
            <w:r>
              <w:rPr>
                <w:b w:val="false"/>
                <w:bCs w:val="false"/>
                <w:sz w:val="18"/>
                <w:szCs w:val="18"/>
              </w:rPr>
              <w:t xml:space="preserve">Stable/expanding = pricing power; declining = competitive pressure</w:t>
            </w:r>
          </w:p>
        </w:tc>
        <w:tc>
          <w:tcPr>
            <w:tcW w:type="dxa" w:w="2246"/>
          </w:tcPr>
          <w:p>
            <w:r>
              <w:rPr>
                <w:b w:val="false"/>
                <w:bCs w:val="false"/>
                <w:sz w:val="18"/>
                <w:szCs w:val="18"/>
              </w:rPr>
              <w:t xml:space="preserve">Declining in TTM, but explainable (UK accounting change + insurance pass-through), not demonstrated competitive loss</w:t>
            </w:r>
          </w:p>
        </w:tc>
      </w:tr>
      <w:tr>
        <w:tc>
          <w:tcPr>
            <w:tcW w:type="dxa" w:w="2246"/>
          </w:tcPr>
          <w:p>
            <w:r>
              <w:rPr>
                <w:b w:val="false"/>
                <w:bCs w:val="false"/>
                <w:sz w:val="18"/>
                <w:szCs w:val="18"/>
              </w:rPr>
              <w:t xml:space="preserve">Buyer + seller count growth</w:t>
            </w:r>
          </w:p>
        </w:tc>
        <w:tc>
          <w:tcPr>
            <w:tcW w:type="dxa" w:w="2246"/>
          </w:tcPr>
          <w:p>
            <w:r>
              <w:rPr>
                <w:b w:val="false"/>
                <w:bCs w:val="false"/>
                <w:sz w:val="18"/>
                <w:szCs w:val="18"/>
              </w:rPr>
              <w:t xml:space="preserve">MAPCs +15.6% YoY; drivers/couriers +19% YoY (FY25)</w:t>
            </w:r>
          </w:p>
        </w:tc>
        <w:tc>
          <w:tcPr>
            <w:tcW w:type="dxa" w:w="2621"/>
          </w:tcPr>
          <w:p>
            <w:r>
              <w:rPr>
                <w:b w:val="false"/>
                <w:bCs w:val="false"/>
                <w:sz w:val="18"/>
                <w:szCs w:val="18"/>
              </w:rPr>
              <w:t xml:space="preserve">Both growing = strong</w:t>
            </w:r>
          </w:p>
        </w:tc>
        <w:tc>
          <w:tcPr>
            <w:tcW w:type="dxa" w:w="2246"/>
          </w:tcPr>
          <w:p>
            <w:r>
              <w:rPr>
                <w:b w:val="false"/>
                <w:bCs w:val="false"/>
                <w:sz w:val="18"/>
                <w:szCs w:val="18"/>
              </w:rPr>
              <w:t xml:space="preserve">Strong — clearest positive in this table</w:t>
            </w:r>
          </w:p>
        </w:tc>
      </w:tr>
      <w:tr>
        <w:tc>
          <w:tcPr>
            <w:tcW w:type="dxa" w:w="2246"/>
          </w:tcPr>
          <w:p>
            <w:r>
              <w:rPr>
                <w:b w:val="false"/>
                <w:bCs w:val="false"/>
                <w:sz w:val="18"/>
                <w:szCs w:val="18"/>
              </w:rPr>
              <w:t xml:space="preserve">Contribution margin (post-CAC)</w:t>
            </w:r>
          </w:p>
        </w:tc>
        <w:tc>
          <w:tcPr>
            <w:tcW w:type="dxa" w:w="2246"/>
          </w:tcPr>
          <w:p>
            <w:r>
              <w:rPr>
                <w:b w:val="false"/>
                <w:bCs w:val="false"/>
                <w:sz w:val="18"/>
                <w:szCs w:val="18"/>
              </w:rPr>
              <w:t xml:space="preserve">Not disclosed/sourced</w:t>
            </w:r>
          </w:p>
        </w:tc>
        <w:tc>
          <w:tcPr>
            <w:tcW w:type="dxa" w:w="2621"/>
          </w:tcPr>
          <w:p>
            <w:r>
              <w:rPr>
                <w:b w:val="false"/>
                <w:bCs w:val="false"/>
                <w:sz w:val="18"/>
                <w:szCs w:val="18"/>
              </w:rPr>
              <w:t xml:space="preserve">Positive and improving = healthy</w:t>
            </w:r>
          </w:p>
        </w:tc>
        <w:tc>
          <w:tcPr>
            <w:tcW w:type="dxa" w:w="2246"/>
          </w:tcPr>
          <w:p>
            <w:r>
              <w:rPr>
                <w:b w:val="false"/>
                <w:bCs w:val="false"/>
                <w:sz w:val="18"/>
                <w:szCs w:val="18"/>
              </w:rPr>
              <w:t xml:space="preserve">Not scored</w:t>
            </w:r>
          </w:p>
        </w:tc>
      </w:tr>
      <w:tr>
        <w:tc>
          <w:tcPr>
            <w:tcW w:type="dxa" w:w="2246"/>
          </w:tcPr>
          <w:p>
            <w:r>
              <w:rPr>
                <w:b w:val="false"/>
                <w:bCs w:val="false"/>
                <w:sz w:val="18"/>
                <w:szCs w:val="18"/>
              </w:rPr>
              <w:t xml:space="preserve">Network-effects liquidity test</w:t>
            </w:r>
          </w:p>
        </w:tc>
        <w:tc>
          <w:tcPr>
            <w:tcW w:type="dxa" w:w="2246"/>
          </w:tcPr>
          <w:p>
            <w:r>
              <w:rPr>
                <w:b w:val="false"/>
                <w:bCs w:val="false"/>
                <w:sz w:val="18"/>
                <w:szCs w:val="18"/>
              </w:rPr>
              <w:t xml:space="preserve">Conditional pass</w:t>
            </w:r>
          </w:p>
        </w:tc>
        <w:tc>
          <w:tcPr>
            <w:tcW w:type="dxa" w:w="2621"/>
          </w:tcPr>
          <w:p>
            <w:r>
              <w:rPr>
                <w:b w:val="false"/>
                <w:bCs w:val="false"/>
                <w:sz w:val="18"/>
                <w:szCs w:val="18"/>
              </w:rPr>
              <w:t xml:space="preserve">Each new user improves the market for existing users</w:t>
            </w:r>
          </w:p>
        </w:tc>
        <w:tc>
          <w:tcPr>
            <w:tcW w:type="dxa" w:w="2246"/>
          </w:tcPr>
          <w:p>
            <w:r>
              <w:rPr>
                <w:b w:val="false"/>
                <w:bCs w:val="false"/>
                <w:sz w:val="18"/>
                <w:szCs w:val="18"/>
              </w:rPr>
              <w:t xml:space="preserve">True for driver/rider side; contested for AV supply side (Section 6)</w:t>
            </w:r>
          </w:p>
        </w:tc>
      </w:tr>
      <w:tr>
        <w:tc>
          <w:tcPr>
            <w:tcW w:type="dxa" w:w="2246"/>
          </w:tcPr>
          <w:p>
            <w:r>
              <w:rPr>
                <w:b w:val="false"/>
                <w:bCs w:val="false"/>
                <w:sz w:val="18"/>
                <w:szCs w:val="18"/>
              </w:rPr>
              <w:t xml:space="preserve">EV/GMV</w:t>
            </w:r>
          </w:p>
        </w:tc>
        <w:tc>
          <w:tcPr>
            <w:tcW w:type="dxa" w:w="2246"/>
          </w:tcPr>
          <w:p>
            <w:r>
              <w:rPr>
                <w:b w:val="false"/>
                <w:bCs w:val="false"/>
                <w:sz w:val="18"/>
                <w:szCs w:val="18"/>
              </w:rPr>
              <w:t xml:space="preserve">~0.72x (TTM)</w:t>
            </w:r>
          </w:p>
        </w:tc>
        <w:tc>
          <w:tcPr>
            <w:tcW w:type="dxa" w:w="2621"/>
          </w:tcPr>
          <w:p>
            <w:r>
              <w:rPr>
                <w:b w:val="false"/>
                <w:bCs w:val="false"/>
                <w:sz w:val="18"/>
                <w:szCs w:val="18"/>
              </w:rPr>
              <w:t xml:space="preserve">1-3x mature/high-take-rate; 0.3-1x lower band</w:t>
            </w:r>
          </w:p>
        </w:tc>
        <w:tc>
          <w:tcPr>
            <w:tcW w:type="dxa" w:w="2246"/>
          </w:tcPr>
          <w:p>
            <w:r>
              <w:rPr>
                <w:b w:val="false"/>
                <w:bCs w:val="false"/>
                <w:sz w:val="18"/>
                <w:szCs w:val="18"/>
              </w:rPr>
              <w:t xml:space="preserve">Lower band — market not paying a premium on gross bookings</w:t>
            </w:r>
          </w:p>
        </w:tc>
      </w:tr>
    </w:tbl>
    <w:p>
      <w:pPr>
        <w:spacing w:after="120"/>
      </w:pPr>
      <w:r>
        <w:t xml:space="preserve">Take-rate stability is explicitly the moat test per this sector appendix, and the answer here is genuinely mixed: stable-to-strong on the human-driver/courier side (still the large majority of volume today), openly contested on the AV side where at least one major operator (Waymo) has demonstrated it can and will walk away from fee-sharing with Uber once it has sufficient scale and route density of its own.</w:t>
      </w:r>
    </w:p>
    <w:p>
      <w:pPr>
        <w:pStyle w:val="Heading1"/>
        <w:spacing w:after="150" w:before="300"/>
      </w:pPr>
      <w:r>
        <w:t xml:space="preserve">11. Five-Year Ratio Trend Analysis</w:t>
      </w:r>
    </w:p>
    <w:p>
      <w:pPr>
        <w:pStyle w:val="Heading2"/>
        <w:spacing w:after="120" w:before="250"/>
      </w:pPr>
      <w:r>
        <w:t xml:space="preserve">Base Ratio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7"/>
        <w:gridCol w:w="1217"/>
        <w:gridCol w:w="1217"/>
        <w:gridCol w:w="1217"/>
        <w:gridCol w:w="1217"/>
        <w:gridCol w:w="1217"/>
      </w:tblGrid>
      <w:tr>
        <w:trPr>
          <w:tblHeader/>
        </w:trPr>
        <w:tc>
          <w:tcPr>
            <w:tcW w:type="dxa" w:w="2059"/>
            <w:shd w:fill="D9E2F3" w:color="auto" w:val="clear"/>
          </w:tcPr>
          <w:p>
            <w:r>
              <w:rPr>
                <w:b/>
                <w:bCs/>
                <w:sz w:val="18"/>
                <w:szCs w:val="18"/>
              </w:rPr>
              <w:t xml:space="preserve">Metric</w:t>
            </w:r>
          </w:p>
        </w:tc>
        <w:tc>
          <w:tcPr>
            <w:tcW w:type="dxa" w:w="1217"/>
            <w:shd w:fill="D9E2F3" w:color="auto" w:val="clear"/>
          </w:tcPr>
          <w:p>
            <w:r>
              <w:rPr>
                <w:b/>
                <w:bCs/>
                <w:sz w:val="18"/>
                <w:szCs w:val="18"/>
              </w:rPr>
              <w:t xml:space="preserve">FY2021</w:t>
            </w:r>
          </w:p>
        </w:tc>
        <w:tc>
          <w:tcPr>
            <w:tcW w:type="dxa" w:w="1217"/>
            <w:shd w:fill="D9E2F3" w:color="auto" w:val="clear"/>
          </w:tcPr>
          <w:p>
            <w:r>
              <w:rPr>
                <w:b/>
                <w:bCs/>
                <w:sz w:val="18"/>
                <w:szCs w:val="18"/>
              </w:rPr>
              <w:t xml:space="preserve">FY2022</w:t>
            </w:r>
          </w:p>
        </w:tc>
        <w:tc>
          <w:tcPr>
            <w:tcW w:type="dxa" w:w="1217"/>
            <w:shd w:fill="D9E2F3" w:color="auto" w:val="clear"/>
          </w:tcPr>
          <w:p>
            <w:r>
              <w:rPr>
                <w:b/>
                <w:bCs/>
                <w:sz w:val="18"/>
                <w:szCs w:val="18"/>
              </w:rPr>
              <w:t xml:space="preserve">FY2023</w:t>
            </w:r>
          </w:p>
        </w:tc>
        <w:tc>
          <w:tcPr>
            <w:tcW w:type="dxa" w:w="1217"/>
            <w:shd w:fill="D9E2F3" w:color="auto" w:val="clear"/>
          </w:tcPr>
          <w:p>
            <w:r>
              <w:rPr>
                <w:b/>
                <w:bCs/>
                <w:sz w:val="18"/>
                <w:szCs w:val="18"/>
              </w:rPr>
              <w:t xml:space="preserve">FY2024</w:t>
            </w:r>
          </w:p>
        </w:tc>
        <w:tc>
          <w:tcPr>
            <w:tcW w:type="dxa" w:w="1217"/>
            <w:shd w:fill="D9E2F3" w:color="auto" w:val="clear"/>
          </w:tcPr>
          <w:p>
            <w:r>
              <w:rPr>
                <w:b/>
                <w:bCs/>
                <w:sz w:val="18"/>
                <w:szCs w:val="18"/>
              </w:rPr>
              <w:t xml:space="preserve">FY2025</w:t>
            </w:r>
          </w:p>
        </w:tc>
        <w:tc>
          <w:tcPr>
            <w:tcW w:type="dxa" w:w="1217"/>
            <w:shd w:fill="D9E2F3" w:color="auto" w:val="clear"/>
          </w:tcPr>
          <w:p>
            <w:r>
              <w:rPr>
                <w:b/>
                <w:bCs/>
                <w:sz w:val="18"/>
                <w:szCs w:val="18"/>
              </w:rPr>
              <w:t xml:space="preserve">TTM</w:t>
            </w:r>
          </w:p>
        </w:tc>
      </w:tr>
      <w:tr>
        <w:tc>
          <w:tcPr>
            <w:tcW w:type="dxa" w:w="2059"/>
          </w:tcPr>
          <w:p>
            <w:r>
              <w:rPr>
                <w:b w:val="false"/>
                <w:bCs w:val="false"/>
                <w:sz w:val="18"/>
                <w:szCs w:val="18"/>
              </w:rPr>
              <w:t xml:space="preserve">Revenue ($B)</w:t>
            </w:r>
          </w:p>
        </w:tc>
        <w:tc>
          <w:tcPr>
            <w:tcW w:type="dxa" w:w="1217"/>
          </w:tcPr>
          <w:p>
            <w:r>
              <w:rPr>
                <w:b w:val="false"/>
                <w:bCs w:val="false"/>
                <w:sz w:val="18"/>
                <w:szCs w:val="18"/>
              </w:rPr>
              <w:t xml:space="preserve">17.455</w:t>
            </w:r>
          </w:p>
        </w:tc>
        <w:tc>
          <w:tcPr>
            <w:tcW w:type="dxa" w:w="1217"/>
          </w:tcPr>
          <w:p>
            <w:r>
              <w:rPr>
                <w:b w:val="false"/>
                <w:bCs w:val="false"/>
                <w:sz w:val="18"/>
                <w:szCs w:val="18"/>
              </w:rPr>
              <w:t xml:space="preserve">31.877</w:t>
            </w:r>
          </w:p>
        </w:tc>
        <w:tc>
          <w:tcPr>
            <w:tcW w:type="dxa" w:w="1217"/>
          </w:tcPr>
          <w:p>
            <w:r>
              <w:rPr>
                <w:b w:val="false"/>
                <w:bCs w:val="false"/>
                <w:sz w:val="18"/>
                <w:szCs w:val="18"/>
              </w:rPr>
              <w:t xml:space="preserve">37.281</w:t>
            </w:r>
          </w:p>
        </w:tc>
        <w:tc>
          <w:tcPr>
            <w:tcW w:type="dxa" w:w="1217"/>
          </w:tcPr>
          <w:p>
            <w:r>
              <w:rPr>
                <w:b w:val="false"/>
                <w:bCs w:val="false"/>
                <w:sz w:val="18"/>
                <w:szCs w:val="18"/>
              </w:rPr>
              <w:t xml:space="preserve">43.978</w:t>
            </w:r>
          </w:p>
        </w:tc>
        <w:tc>
          <w:tcPr>
            <w:tcW w:type="dxa" w:w="1217"/>
          </w:tcPr>
          <w:p>
            <w:r>
              <w:rPr>
                <w:b w:val="false"/>
                <w:bCs w:val="false"/>
                <w:sz w:val="18"/>
                <w:szCs w:val="18"/>
              </w:rPr>
              <w:t xml:space="preserve">52.020</w:t>
            </w:r>
          </w:p>
        </w:tc>
        <w:tc>
          <w:tcPr>
            <w:tcW w:type="dxa" w:w="1217"/>
          </w:tcPr>
          <w:p>
            <w:r>
              <w:rPr>
                <w:b w:val="false"/>
                <w:bCs w:val="false"/>
                <w:sz w:val="18"/>
                <w:szCs w:val="18"/>
              </w:rPr>
              <w:t xml:space="preserve">55.260</w:t>
            </w:r>
          </w:p>
        </w:tc>
      </w:tr>
      <w:tr>
        <w:tc>
          <w:tcPr>
            <w:tcW w:type="dxa" w:w="2059"/>
          </w:tcPr>
          <w:p>
            <w:r>
              <w:rPr>
                <w:b w:val="false"/>
                <w:bCs w:val="false"/>
                <w:sz w:val="18"/>
                <w:szCs w:val="18"/>
              </w:rPr>
              <w:t xml:space="preserve">Revenue growth YoY</w:t>
            </w:r>
          </w:p>
        </w:tc>
        <w:tc>
          <w:tcPr>
            <w:tcW w:type="dxa" w:w="1217"/>
          </w:tcPr>
          <w:p>
            <w:r>
              <w:rPr>
                <w:b w:val="false"/>
                <w:bCs w:val="false"/>
                <w:sz w:val="18"/>
                <w:szCs w:val="18"/>
              </w:rPr>
              <w:t xml:space="preserve">-</w:t>
            </w:r>
          </w:p>
        </w:tc>
        <w:tc>
          <w:tcPr>
            <w:tcW w:type="dxa" w:w="1217"/>
          </w:tcPr>
          <w:p>
            <w:r>
              <w:rPr>
                <w:b w:val="false"/>
                <w:bCs w:val="false"/>
                <w:sz w:val="18"/>
                <w:szCs w:val="18"/>
              </w:rPr>
              <w:t xml:space="preserve">+82.6%</w:t>
            </w:r>
          </w:p>
        </w:tc>
        <w:tc>
          <w:tcPr>
            <w:tcW w:type="dxa" w:w="1217"/>
          </w:tcPr>
          <w:p>
            <w:r>
              <w:rPr>
                <w:b w:val="false"/>
                <w:bCs w:val="false"/>
                <w:sz w:val="18"/>
                <w:szCs w:val="18"/>
              </w:rPr>
              <w:t xml:space="preserve">+17.0%</w:t>
            </w:r>
          </w:p>
        </w:tc>
        <w:tc>
          <w:tcPr>
            <w:tcW w:type="dxa" w:w="1217"/>
          </w:tcPr>
          <w:p>
            <w:r>
              <w:rPr>
                <w:b w:val="false"/>
                <w:bCs w:val="false"/>
                <w:sz w:val="18"/>
                <w:szCs w:val="18"/>
              </w:rPr>
              <w:t xml:space="preserve">+18.0%</w:t>
            </w:r>
          </w:p>
        </w:tc>
        <w:tc>
          <w:tcPr>
            <w:tcW w:type="dxa" w:w="1217"/>
          </w:tcPr>
          <w:p>
            <w:r>
              <w:rPr>
                <w:b w:val="false"/>
                <w:bCs w:val="false"/>
                <w:sz w:val="18"/>
                <w:szCs w:val="18"/>
              </w:rPr>
              <w:t xml:space="preserve">+18.3%</w:t>
            </w:r>
          </w:p>
        </w:tc>
        <w:tc>
          <w:tcPr>
            <w:tcW w:type="dxa" w:w="1217"/>
          </w:tcPr>
          <w:p>
            <w:r>
              <w:rPr>
                <w:b w:val="false"/>
                <w:bCs w:val="false"/>
                <w:sz w:val="18"/>
                <w:szCs w:val="18"/>
              </w:rPr>
              <w:t xml:space="preserve">~+12-13% [derived]</w:t>
            </w:r>
          </w:p>
        </w:tc>
      </w:tr>
      <w:tr>
        <w:tc>
          <w:tcPr>
            <w:tcW w:type="dxa" w:w="2059"/>
          </w:tcPr>
          <w:p>
            <w:r>
              <w:rPr>
                <w:b w:val="false"/>
                <w:bCs w:val="false"/>
                <w:sz w:val="18"/>
                <w:szCs w:val="18"/>
              </w:rPr>
              <w:t xml:space="preserve">Net margin</w:t>
            </w:r>
          </w:p>
        </w:tc>
        <w:tc>
          <w:tcPr>
            <w:tcW w:type="dxa" w:w="1217"/>
          </w:tcPr>
          <w:p>
            <w:r>
              <w:rPr>
                <w:b w:val="false"/>
                <w:bCs w:val="false"/>
                <w:sz w:val="18"/>
                <w:szCs w:val="18"/>
              </w:rPr>
              <w:t xml:space="preserve">-2.8%</w:t>
            </w:r>
          </w:p>
        </w:tc>
        <w:tc>
          <w:tcPr>
            <w:tcW w:type="dxa" w:w="1217"/>
          </w:tcPr>
          <w:p>
            <w:r>
              <w:rPr>
                <w:b w:val="false"/>
                <w:bCs w:val="false"/>
                <w:sz w:val="18"/>
                <w:szCs w:val="18"/>
              </w:rPr>
              <w:t xml:space="preserve">-28.7%</w:t>
            </w:r>
          </w:p>
        </w:tc>
        <w:tc>
          <w:tcPr>
            <w:tcW w:type="dxa" w:w="1217"/>
          </w:tcPr>
          <w:p>
            <w:r>
              <w:rPr>
                <w:b w:val="false"/>
                <w:bCs w:val="false"/>
                <w:sz w:val="18"/>
                <w:szCs w:val="18"/>
              </w:rPr>
              <w:t xml:space="preserve">+5.1%</w:t>
            </w:r>
          </w:p>
        </w:tc>
        <w:tc>
          <w:tcPr>
            <w:tcW w:type="dxa" w:w="1217"/>
          </w:tcPr>
          <w:p>
            <w:r>
              <w:rPr>
                <w:b w:val="false"/>
                <w:bCs w:val="false"/>
                <w:sz w:val="18"/>
                <w:szCs w:val="18"/>
              </w:rPr>
              <w:t xml:space="preserve">+22.4%</w:t>
            </w:r>
          </w:p>
        </w:tc>
        <w:tc>
          <w:tcPr>
            <w:tcW w:type="dxa" w:w="1217"/>
          </w:tcPr>
          <w:p>
            <w:r>
              <w:rPr>
                <w:b w:val="false"/>
                <w:bCs w:val="false"/>
                <w:sz w:val="18"/>
                <w:szCs w:val="18"/>
              </w:rPr>
              <w:t xml:space="preserve">~+19.4%</w:t>
            </w:r>
          </w:p>
        </w:tc>
        <w:tc>
          <w:tcPr>
            <w:tcW w:type="dxa" w:w="1217"/>
          </w:tcPr>
          <w:p>
            <w:r>
              <w:rPr>
                <w:b w:val="false"/>
                <w:bCs w:val="false"/>
                <w:sz w:val="18"/>
                <w:szCs w:val="18"/>
              </w:rPr>
              <w:t xml:space="preserve">n/m — see Sec.4</w:t>
            </w:r>
          </w:p>
        </w:tc>
      </w:tr>
      <w:tr>
        <w:tc>
          <w:tcPr>
            <w:tcW w:type="dxa" w:w="2059"/>
          </w:tcPr>
          <w:p>
            <w:r>
              <w:rPr>
                <w:b w:val="false"/>
                <w:bCs w:val="false"/>
                <w:sz w:val="18"/>
                <w:szCs w:val="18"/>
              </w:rPr>
              <w:t xml:space="preserve">ROE</w:t>
            </w:r>
          </w:p>
        </w:tc>
        <w:tc>
          <w:tcPr>
            <w:tcW w:type="dxa" w:w="1217"/>
          </w:tcPr>
          <w:p>
            <w:r>
              <w:rPr>
                <w:b w:val="false"/>
                <w:bCs w:val="false"/>
                <w:sz w:val="18"/>
                <w:szCs w:val="18"/>
              </w:rPr>
              <w:t xml:space="preserve">n/m (loss)</w:t>
            </w:r>
          </w:p>
        </w:tc>
        <w:tc>
          <w:tcPr>
            <w:tcW w:type="dxa" w:w="1217"/>
          </w:tcPr>
          <w:p>
            <w:r>
              <w:rPr>
                <w:b w:val="false"/>
                <w:bCs w:val="false"/>
                <w:sz w:val="18"/>
                <w:szCs w:val="18"/>
              </w:rPr>
              <w:t xml:space="preserve">n/m (loss)</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one-off-elevated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r>
      <w:tr>
        <w:tc>
          <w:tcPr>
            <w:tcW w:type="dxa" w:w="2059"/>
          </w:tcPr>
          <w:p>
            <w:r>
              <w:rPr>
                <w:b w:val="false"/>
                <w:bCs w:val="false"/>
                <w:sz w:val="18"/>
                <w:szCs w:val="18"/>
              </w:rPr>
              <w:t xml:space="preserve">EV/Revenue</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2.77x</w:t>
            </w:r>
          </w:p>
        </w:tc>
      </w:tr>
      <w:tr>
        <w:tc>
          <w:tcPr>
            <w:tcW w:type="dxa" w:w="2059"/>
          </w:tcPr>
          <w:p>
            <w:r>
              <w:rPr>
                <w:b w:val="false"/>
                <w:bCs w:val="false"/>
                <w:sz w:val="18"/>
                <w:szCs w:val="18"/>
              </w:rPr>
              <w:t xml:space="preserve">Debt/Equity</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~0.45x [derived]</w:t>
            </w:r>
          </w:p>
        </w:tc>
      </w:tr>
      <w:tr>
        <w:tc>
          <w:tcPr>
            <w:tcW w:type="dxa" w:w="2059"/>
          </w:tcPr>
          <w:p>
            <w:r>
              <w:rPr>
                <w:b w:val="false"/>
                <w:bCs w:val="false"/>
                <w:sz w:val="18"/>
                <w:szCs w:val="18"/>
              </w:rPr>
              <w:t xml:space="preserve">Net cash/(net debt) ($B)</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-7.85</w:t>
            </w:r>
          </w:p>
        </w:tc>
      </w:tr>
      <w:tr>
        <w:tc>
          <w:tcPr>
            <w:tcW w:type="dxa" w:w="2059"/>
          </w:tcPr>
          <w:p>
            <w:r>
              <w:rPr>
                <w:b w:val="false"/>
                <w:bCs w:val="false"/>
                <w:sz w:val="18"/>
                <w:szCs w:val="18"/>
              </w:rPr>
              <w:t xml:space="preserve">FCF margin</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~18.8%</w:t>
            </w:r>
          </w:p>
        </w:tc>
        <w:tc>
          <w:tcPr>
            <w:tcW w:type="dxa" w:w="1217"/>
          </w:tcPr>
          <w:p>
            <w:r>
              <w:rPr>
                <w:b w:val="false"/>
                <w:bCs w:val="false"/>
                <w:sz w:val="18"/>
                <w:szCs w:val="18"/>
              </w:rPr>
              <w:t xml:space="preserve">not reconstructed</w:t>
            </w:r>
          </w:p>
        </w:tc>
      </w:tr>
    </w:tbl>
    <w:p>
      <w:pPr>
        <w:spacing w:after="120"/>
      </w:pPr>
      <w:r>
        <w:t xml:space="preserve">A genuinely large share of this table's historical cells were not reconstructable from sources retrieved this pass — left blank/flagged rather than estimated, per the agent's own rule against imputing figures. This is a real gap relative to the LITE and MU reports produced earlier this session, noted honestly rather than papered over.</w:t>
      </w:r>
    </w:p>
    <w:p>
      <w:pPr>
        <w:pStyle w:val="Heading2"/>
        <w:spacing w:after="120" w:before="250"/>
      </w:pPr>
      <w:r>
        <w:t xml:space="preserve">Sector-Specific Table (Marketplaces &amp;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217"/>
        <w:gridCol w:w="1217"/>
        <w:gridCol w:w="1217"/>
        <w:gridCol w:w="1217"/>
        <w:gridCol w:w="1217"/>
        <w:gridCol w:w="1217"/>
      </w:tblGrid>
      <w:tr>
        <w:trPr>
          <w:tblHeader/>
        </w:trPr>
        <w:tc>
          <w:tcPr>
            <w:tcW w:type="dxa" w:w="2059"/>
            <w:shd w:fill="D9E2F3" w:color="auto" w:val="clear"/>
          </w:tcPr>
          <w:p>
            <w:r>
              <w:rPr>
                <w:b/>
                <w:bCs/>
                <w:sz w:val="18"/>
                <w:szCs w:val="18"/>
              </w:rPr>
              <w:t xml:space="preserve">Metric</w:t>
            </w:r>
          </w:p>
        </w:tc>
        <w:tc>
          <w:tcPr>
            <w:tcW w:type="dxa" w:w="1217"/>
            <w:shd w:fill="D9E2F3" w:color="auto" w:val="clear"/>
          </w:tcPr>
          <w:p>
            <w:r>
              <w:rPr>
                <w:b/>
                <w:bCs/>
                <w:sz w:val="18"/>
                <w:szCs w:val="18"/>
              </w:rPr>
              <w:t xml:space="preserve">FY2021</w:t>
            </w:r>
          </w:p>
        </w:tc>
        <w:tc>
          <w:tcPr>
            <w:tcW w:type="dxa" w:w="1217"/>
            <w:shd w:fill="D9E2F3" w:color="auto" w:val="clear"/>
          </w:tcPr>
          <w:p>
            <w:r>
              <w:rPr>
                <w:b/>
                <w:bCs/>
                <w:sz w:val="18"/>
                <w:szCs w:val="18"/>
              </w:rPr>
              <w:t xml:space="preserve">FY2022</w:t>
            </w:r>
          </w:p>
        </w:tc>
        <w:tc>
          <w:tcPr>
            <w:tcW w:type="dxa" w:w="1217"/>
            <w:shd w:fill="D9E2F3" w:color="auto" w:val="clear"/>
          </w:tcPr>
          <w:p>
            <w:r>
              <w:rPr>
                <w:b/>
                <w:bCs/>
                <w:sz w:val="18"/>
                <w:szCs w:val="18"/>
              </w:rPr>
              <w:t xml:space="preserve">FY2023</w:t>
            </w:r>
          </w:p>
        </w:tc>
        <w:tc>
          <w:tcPr>
            <w:tcW w:type="dxa" w:w="1217"/>
            <w:shd w:fill="D9E2F3" w:color="auto" w:val="clear"/>
          </w:tcPr>
          <w:p>
            <w:r>
              <w:rPr>
                <w:b/>
                <w:bCs/>
                <w:sz w:val="18"/>
                <w:szCs w:val="18"/>
              </w:rPr>
              <w:t xml:space="preserve">FY2024</w:t>
            </w:r>
          </w:p>
        </w:tc>
        <w:tc>
          <w:tcPr>
            <w:tcW w:type="dxa" w:w="1217"/>
            <w:shd w:fill="D9E2F3" w:color="auto" w:val="clear"/>
          </w:tcPr>
          <w:p>
            <w:r>
              <w:rPr>
                <w:b/>
                <w:bCs/>
                <w:sz w:val="18"/>
                <w:szCs w:val="18"/>
              </w:rPr>
              <w:t xml:space="preserve">FY2025</w:t>
            </w:r>
          </w:p>
        </w:tc>
        <w:tc>
          <w:tcPr>
            <w:tcW w:type="dxa" w:w="1217"/>
            <w:shd w:fill="D9E2F3" w:color="auto" w:val="clear"/>
          </w:tcPr>
          <w:p>
            <w:r>
              <w:rPr>
                <w:b/>
                <w:bCs/>
                <w:sz w:val="18"/>
                <w:szCs w:val="18"/>
              </w:rPr>
              <w:t xml:space="preserve">TTM</w:t>
            </w:r>
          </w:p>
        </w:tc>
      </w:tr>
      <w:tr>
        <w:tc>
          <w:tcPr>
            <w:tcW w:type="dxa" w:w="2059"/>
          </w:tcPr>
          <w:p>
            <w:r>
              <w:rPr>
                <w:b w:val="false"/>
                <w:bCs w:val="false"/>
                <w:sz w:val="18"/>
                <w:szCs w:val="18"/>
              </w:rPr>
              <w:t xml:space="preserve">Gross Bookings ($B)</w:t>
            </w:r>
          </w:p>
        </w:tc>
        <w:tc>
          <w:tcPr>
            <w:tcW w:type="dxa" w:w="1217"/>
          </w:tcPr>
          <w:p>
            <w:r>
              <w:rPr>
                <w:b w:val="false"/>
                <w:bCs w:val="false"/>
                <w:sz w:val="18"/>
                <w:szCs w:val="18"/>
              </w:rPr>
              <w:t xml:space="preserve">82.8</w:t>
            </w:r>
          </w:p>
        </w:tc>
        <w:tc>
          <w:tcPr>
            <w:tcW w:type="dxa" w:w="1217"/>
          </w:tcPr>
          <w:p>
            <w:r>
              <w:rPr>
                <w:b w:val="false"/>
                <w:bCs w:val="false"/>
                <w:sz w:val="18"/>
                <w:szCs w:val="18"/>
              </w:rPr>
              <w:t xml:space="preserve">115.4</w:t>
            </w:r>
          </w:p>
        </w:tc>
        <w:tc>
          <w:tcPr>
            <w:tcW w:type="dxa" w:w="1217"/>
          </w:tcPr>
          <w:p>
            <w:r>
              <w:rPr>
                <w:b w:val="false"/>
                <w:bCs w:val="false"/>
                <w:sz w:val="18"/>
                <w:szCs w:val="18"/>
              </w:rPr>
              <w:t xml:space="preserve">137.9</w:t>
            </w:r>
          </w:p>
        </w:tc>
        <w:tc>
          <w:tcPr>
            <w:tcW w:type="dxa" w:w="1217"/>
          </w:tcPr>
          <w:p>
            <w:r>
              <w:rPr>
                <w:b w:val="false"/>
                <w:bCs w:val="false"/>
                <w:sz w:val="18"/>
                <w:szCs w:val="18"/>
              </w:rPr>
              <w:t xml:space="preserve">162.8</w:t>
            </w:r>
          </w:p>
        </w:tc>
        <w:tc>
          <w:tcPr>
            <w:tcW w:type="dxa" w:w="1217"/>
          </w:tcPr>
          <w:p>
            <w:r>
              <w:rPr>
                <w:b w:val="false"/>
                <w:bCs w:val="false"/>
                <w:sz w:val="18"/>
                <w:szCs w:val="18"/>
              </w:rPr>
              <w:t xml:space="preserve">193.0</w:t>
            </w:r>
          </w:p>
        </w:tc>
        <w:tc>
          <w:tcPr>
            <w:tcW w:type="dxa" w:w="1217"/>
          </w:tcPr>
          <w:p>
            <w:r>
              <w:rPr>
                <w:b w:val="false"/>
                <w:bCs w:val="false"/>
                <w:sz w:val="18"/>
                <w:szCs w:val="18"/>
              </w:rPr>
              <w:t xml:space="preserve">~213.0 [derived]</w:t>
            </w:r>
          </w:p>
        </w:tc>
      </w:tr>
      <w:tr>
        <w:tc>
          <w:tcPr>
            <w:tcW w:type="dxa" w:w="2059"/>
          </w:tcPr>
          <w:p>
            <w:r>
              <w:rPr>
                <w:b w:val="false"/>
                <w:bCs w:val="false"/>
                <w:sz w:val="18"/>
                <w:szCs w:val="18"/>
              </w:rPr>
              <w:t xml:space="preserve">Take rate (Rev/GB)</w:t>
            </w:r>
          </w:p>
        </w:tc>
        <w:tc>
          <w:tcPr>
            <w:tcW w:type="dxa" w:w="1217"/>
          </w:tcPr>
          <w:p>
            <w:r>
              <w:rPr>
                <w:b w:val="false"/>
                <w:bCs w:val="false"/>
                <w:sz w:val="18"/>
                <w:szCs w:val="18"/>
              </w:rPr>
              <w:t xml:space="preserve">21.1%</w:t>
            </w:r>
          </w:p>
        </w:tc>
        <w:tc>
          <w:tcPr>
            <w:tcW w:type="dxa" w:w="1217"/>
          </w:tcPr>
          <w:p>
            <w:r>
              <w:rPr>
                <w:b w:val="false"/>
                <w:bCs w:val="false"/>
                <w:sz w:val="18"/>
                <w:szCs w:val="18"/>
              </w:rPr>
              <w:t xml:space="preserve">27.6%</w:t>
            </w:r>
          </w:p>
        </w:tc>
        <w:tc>
          <w:tcPr>
            <w:tcW w:type="dxa" w:w="1217"/>
          </w:tcPr>
          <w:p>
            <w:r>
              <w:rPr>
                <w:b w:val="false"/>
                <w:bCs w:val="false"/>
                <w:sz w:val="18"/>
                <w:szCs w:val="18"/>
              </w:rPr>
              <w:t xml:space="preserve">27.0%</w:t>
            </w:r>
          </w:p>
        </w:tc>
        <w:tc>
          <w:tcPr>
            <w:tcW w:type="dxa" w:w="1217"/>
          </w:tcPr>
          <w:p>
            <w:r>
              <w:rPr>
                <w:b w:val="false"/>
                <w:bCs w:val="false"/>
                <w:sz w:val="18"/>
                <w:szCs w:val="18"/>
              </w:rPr>
              <w:t xml:space="preserve">27.0%</w:t>
            </w:r>
          </w:p>
        </w:tc>
        <w:tc>
          <w:tcPr>
            <w:tcW w:type="dxa" w:w="1217"/>
          </w:tcPr>
          <w:p>
            <w:r>
              <w:rPr>
                <w:b w:val="false"/>
                <w:bCs w:val="false"/>
                <w:sz w:val="18"/>
                <w:szCs w:val="18"/>
              </w:rPr>
              <w:t xml:space="preserve">27.0%</w:t>
            </w:r>
          </w:p>
        </w:tc>
        <w:tc>
          <w:tcPr>
            <w:tcW w:type="dxa" w:w="1217"/>
          </w:tcPr>
          <w:p>
            <w:r>
              <w:rPr>
                <w:b w:val="false"/>
                <w:bCs w:val="false"/>
                <w:sz w:val="18"/>
                <w:szCs w:val="18"/>
              </w:rPr>
              <w:t xml:space="preserve">25.9%</w:t>
            </w:r>
          </w:p>
        </w:tc>
      </w:tr>
      <w:tr>
        <w:tc>
          <w:tcPr>
            <w:tcW w:type="dxa" w:w="2059"/>
          </w:tcPr>
          <w:p>
            <w:r>
              <w:rPr>
                <w:b w:val="false"/>
                <w:bCs w:val="false"/>
                <w:sz w:val="18"/>
                <w:szCs w:val="18"/>
              </w:rPr>
              <w:t xml:space="preserve">EV/GMV</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not sourced</w:t>
            </w:r>
          </w:p>
        </w:tc>
        <w:tc>
          <w:tcPr>
            <w:tcW w:type="dxa" w:w="1217"/>
          </w:tcPr>
          <w:p>
            <w:r>
              <w:rPr>
                <w:b w:val="false"/>
                <w:bCs w:val="false"/>
                <w:sz w:val="18"/>
                <w:szCs w:val="18"/>
              </w:rPr>
              <w:t xml:space="preserve">0.72x</w:t>
            </w:r>
          </w:p>
        </w:tc>
      </w:tr>
    </w:tbl>
    <w:p>
      <w:pPr>
        <w:pStyle w:val="Heading2"/>
        <w:spacing w:after="120" w:before="250"/>
      </w:pPr>
      <w:r>
        <w:t xml:space="preserve">Interpretation</w:t>
      </w:r>
    </w:p>
    <w:p>
      <w:pPr>
        <w:pStyle w:val="ListParagraph"/>
        <w:numPr>
          <w:ilvl w:val="0"/>
          <w:numId w:val="1"/>
        </w:numPr>
        <w:spacing w:after="80"/>
      </w:pPr>
      <w:r>
        <w:t xml:space="preserve">The take-rate jump from 21.1% (FY2021) to 27.6% (FY2022) and its stability at ~27.0% for three straight years (FY2023-25), followed by a dip to 25.9% in the TTM window, is the single most decision-relevant row in this report — it connects directly to Section 6's Mauboussin discussion. A stable take rate for three years is real evidence the network-effect moat held pricing power over that period; the recent dip is explainable by a dated accounting change plus a deliberate strategic choice, not by demonstrated AV-driven share loss — but it is exactly the metric to re-check every quarter for early AV-disintermediation warning signs.</w:t>
      </w:r>
    </w:p>
    <w:p>
      <w:pPr>
        <w:pStyle w:val="ListParagraph"/>
        <w:numPr>
          <w:ilvl w:val="0"/>
          <w:numId w:val="1"/>
        </w:numPr>
        <w:spacing w:after="80"/>
      </w:pPr>
      <w:r>
        <w:t xml:space="preserve">Revenue growth deceleration (from +82.6% FY2022 rebound to an estimated +12-13% TTM) is the hard number behind the Lynch re-categorization (Section 3) from Fast Grower toward Stalwart — a maturing, not a struggling, growth profile, consistent with FCF and Adjusted EBITDA both continuing to grow through the same period.</w:t>
      </w:r>
    </w:p>
    <w:p>
      <w:pPr>
        <w:pStyle w:val="ListParagraph"/>
        <w:numPr>
          <w:ilvl w:val="0"/>
          <w:numId w:val="1"/>
        </w:numPr>
        <w:spacing w:after="80"/>
      </w:pPr>
      <w:r>
        <w:t xml:space="preserve">The net-debt position (-$7.85B) alongside improving FCF (~$9.8B FY2025, +42% YoY) is the hard number behind the Fisher #13 and Compounder self-funded-growth findings — Uber is generating enough cash to fund both its buyback program and its AV capital commitments (&gt;$10B) without diluting shareholders, a materially different capital-allocation profile than LITE's convert-driven dilution earlier this session.</w:t>
      </w:r>
    </w:p>
    <w:p>
      <w:pPr>
        <w:pStyle w:val="Heading1"/>
        <w:spacing w:after="150" w:before="300"/>
      </w:pPr>
      <w:r>
        <w:t xml:space="preserve">12. Final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936"/>
        <w:gridCol w:w="1872"/>
        <w:gridCol w:w="2059"/>
        <w:gridCol w:w="936"/>
        <w:gridCol w:w="1123"/>
        <w:gridCol w:w="936"/>
        <w:gridCol w:w="749"/>
      </w:tblGrid>
      <w:tr>
        <w:trPr>
          <w:tblHeader/>
        </w:trPr>
        <w:tc>
          <w:tcPr>
            <w:tcW w:type="dxa" w:w="749"/>
            <w:shd w:fill="D9E2F3" w:color="auto" w:val="clear"/>
          </w:tcPr>
          <w:p>
            <w:r>
              <w:rPr>
                <w:b/>
                <w:bCs/>
                <w:sz w:val="18"/>
                <w:szCs w:val="18"/>
              </w:rPr>
              <w:t xml:space="preserve">Ticker</w:t>
            </w:r>
          </w:p>
        </w:tc>
        <w:tc>
          <w:tcPr>
            <w:tcW w:type="dxa" w:w="936"/>
            <w:shd w:fill="D9E2F3" w:color="auto" w:val="clear"/>
          </w:tcPr>
          <w:p>
            <w:r>
              <w:rPr>
                <w:b/>
                <w:bCs/>
                <w:sz w:val="18"/>
                <w:szCs w:val="18"/>
              </w:rPr>
              <w:t xml:space="preserve">Track</w:t>
            </w:r>
          </w:p>
        </w:tc>
        <w:tc>
          <w:tcPr>
            <w:tcW w:type="dxa" w:w="1872"/>
            <w:shd w:fill="D9E2F3" w:color="auto" w:val="clear"/>
          </w:tcPr>
          <w:p>
            <w:r>
              <w:rPr>
                <w:b/>
                <w:bCs/>
                <w:sz w:val="18"/>
                <w:szCs w:val="18"/>
              </w:rPr>
              <w:t xml:space="preserve">Category</w:t>
            </w:r>
          </w:p>
        </w:tc>
        <w:tc>
          <w:tcPr>
            <w:tcW w:type="dxa" w:w="2059"/>
            <w:shd w:fill="D9E2F3" w:color="auto" w:val="clear"/>
          </w:tcPr>
          <w:p>
            <w:r>
              <w:rPr>
                <w:b/>
                <w:bCs/>
                <w:sz w:val="18"/>
                <w:szCs w:val="18"/>
              </w:rPr>
              <w:t xml:space="preserve">DCF Bear-Base-Bull</w:t>
            </w:r>
          </w:p>
        </w:tc>
        <w:tc>
          <w:tcPr>
            <w:tcW w:type="dxa" w:w="936"/>
            <w:shd w:fill="D9E2F3" w:color="auto" w:val="clear"/>
          </w:tcPr>
          <w:p>
            <w:r>
              <w:rPr>
                <w:b/>
                <w:bCs/>
                <w:sz w:val="18"/>
                <w:szCs w:val="18"/>
              </w:rPr>
              <w:t xml:space="preserve">MoS Gate</w:t>
            </w:r>
          </w:p>
        </w:tc>
        <w:tc>
          <w:tcPr>
            <w:tcW w:type="dxa" w:w="1123"/>
            <w:shd w:fill="D9E2F3" w:color="auto" w:val="clear"/>
          </w:tcPr>
          <w:p>
            <w:r>
              <w:rPr>
                <w:b/>
                <w:bCs/>
                <w:sz w:val="18"/>
                <w:szCs w:val="18"/>
              </w:rPr>
              <w:t xml:space="preserve">Compounder</w:t>
            </w:r>
          </w:p>
        </w:tc>
        <w:tc>
          <w:tcPr>
            <w:tcW w:type="dxa" w:w="936"/>
            <w:shd w:fill="D9E2F3" w:color="auto" w:val="clear"/>
          </w:tcPr>
          <w:p>
            <w:r>
              <w:rPr>
                <w:b/>
                <w:bCs/>
                <w:sz w:val="18"/>
                <w:szCs w:val="18"/>
              </w:rPr>
              <w:t xml:space="preserve">AI Impact</w:t>
            </w:r>
          </w:p>
        </w:tc>
        <w:tc>
          <w:tcPr>
            <w:tcW w:type="dxa" w:w="749"/>
            <w:shd w:fill="D9E2F3" w:color="auto" w:val="clear"/>
          </w:tcPr>
          <w:p>
            <w:r>
              <w:rPr>
                <w:b/>
                <w:bCs/>
                <w:sz w:val="18"/>
                <w:szCs w:val="18"/>
              </w:rPr>
              <w:t xml:space="preserve">Horizon</w:t>
            </w:r>
          </w:p>
        </w:tc>
      </w:tr>
      <w:tr>
        <w:tc>
          <w:tcPr>
            <w:tcW w:type="dxa" w:w="749"/>
          </w:tcPr>
          <w:p>
            <w:r>
              <w:rPr>
                <w:b w:val="false"/>
                <w:bCs w:val="false"/>
                <w:sz w:val="18"/>
                <w:szCs w:val="18"/>
              </w:rPr>
              <w:t xml:space="preserve">UBER</w:t>
            </w:r>
          </w:p>
        </w:tc>
        <w:tc>
          <w:tcPr>
            <w:tcW w:type="dxa" w:w="936"/>
          </w:tcPr>
          <w:p>
            <w:r>
              <w:rPr>
                <w:b w:val="false"/>
                <w:bCs w:val="false"/>
                <w:sz w:val="18"/>
                <w:szCs w:val="18"/>
              </w:rPr>
              <w:t xml:space="preserve">A/C-MK</w:t>
            </w:r>
          </w:p>
        </w:tc>
        <w:tc>
          <w:tcPr>
            <w:tcW w:type="dxa" w:w="1872"/>
          </w:tcPr>
          <w:p>
            <w:r>
              <w:rPr>
                <w:b w:val="false"/>
                <w:bCs w:val="false"/>
                <w:sz w:val="18"/>
                <w:szCs w:val="18"/>
              </w:rPr>
              <w:t xml:space="preserve">Stalwart (from FastGrower)</w:t>
            </w:r>
          </w:p>
        </w:tc>
        <w:tc>
          <w:tcPr>
            <w:tcW w:type="dxa" w:w="2059"/>
          </w:tcPr>
          <w:p>
            <w:r>
              <w:rPr>
                <w:b w:val="false"/>
                <w:bCs w:val="false"/>
                <w:sz w:val="18"/>
                <w:szCs w:val="18"/>
              </w:rPr>
              <w:t xml:space="preserve">$30.49 / $92.10 / $152.89</w:t>
            </w:r>
          </w:p>
        </w:tc>
        <w:tc>
          <w:tcPr>
            <w:tcW w:type="dxa" w:w="936"/>
          </w:tcPr>
          <w:p>
            <w:r>
              <w:rPr>
                <w:b w:val="false"/>
                <w:bCs w:val="false"/>
                <w:sz w:val="18"/>
                <w:szCs w:val="18"/>
              </w:rPr>
              <w:t xml:space="preserve">BASE</w:t>
            </w:r>
          </w:p>
        </w:tc>
        <w:tc>
          <w:tcPr>
            <w:tcW w:type="dxa" w:w="1123"/>
          </w:tcPr>
          <w:p>
            <w:r>
              <w:rPr>
                <w:b w:val="false"/>
                <w:bCs w:val="false"/>
                <w:sz w:val="18"/>
                <w:szCs w:val="18"/>
              </w:rPr>
              <w:t xml:space="preserve">QUALITY</w:t>
            </w:r>
          </w:p>
        </w:tc>
        <w:tc>
          <w:tcPr>
            <w:tcW w:type="dxa" w:w="936"/>
          </w:tcPr>
          <w:p>
            <w:r>
              <w:rPr>
                <w:b w:val="false"/>
                <w:bCs w:val="false"/>
                <w:sz w:val="18"/>
                <w:szCs w:val="18"/>
              </w:rPr>
              <w:t xml:space="preserve">MIXED</w:t>
            </w:r>
          </w:p>
        </w:tc>
        <w:tc>
          <w:tcPr>
            <w:tcW w:type="dxa" w:w="749"/>
          </w:tcPr>
          <w:p>
            <w:r>
              <w:rPr>
                <w:b w:val="false"/>
                <w:bCs w:val="false"/>
                <w:sz w:val="18"/>
                <w:szCs w:val="18"/>
              </w:rPr>
              <w:t xml:space="preserve">3-5yr</w:t>
            </w:r>
          </w:p>
        </w:tc>
      </w:tr>
    </w:tbl>
    <w:p>
      <w:pPr>
        <w:spacing w:after="120"/>
      </w:pPr>
      <w:r>
        <w:rPr>
          <w:b/>
          <w:bCs/>
        </w:rPr>
        <w:t xml:space="preserve">AI Impact detail: </w:t>
      </w:r>
      <w:r>
        <w:t xml:space="preserve">MIXED — leaning HEADWIND in AV-mature markets like Austin/Atlanta post-January 2028 (Waymo goes direct); TAILWIND elsewhere via Uber's own &gt;$10B Lucid/Nuro + Rivian fleet-aggregator commitments.</w:t>
      </w:r>
    </w:p>
    <w:p>
      <w:pPr>
        <w:spacing w:after="120"/>
      </w:pPr>
      <w:r>
        <w:rPr>
          <w:b/>
          <w:bCs/>
        </w:rPr>
        <w:t xml:space="preserve">Thesis Invalidation: </w:t>
      </w:r>
      <w:r>
        <w:t xml:space="preserve">a second major AV operator (beyond Waymo) confirms plans to exit the Uber marketplace and go direct-to-consumer in additional major metros, OR the take rate continues declining beyond what the UK-accounting-change + insurance-pass-through explanation accounts for (i.e., a genuine, not just accounting-driven, take-rate compression trend emerges), OR Adjusted EBITDA margin expansion stalls or reverses for 2+ consecutive quarters.</w:t>
      </w:r>
    </w:p>
    <w:p>
      <w:pPr>
        <w:pStyle w:val="Heading2"/>
        <w:spacing w:after="120" w:before="250"/>
      </w:pPr>
      <w:r>
        <w:t xml:space="preserve">Summary</w:t>
      </w:r>
    </w:p>
    <w:p>
      <w:pPr>
        <w:spacing w:after="120"/>
      </w:pPr>
      <w:r>
        <w:t xml:space="preserve">Of the three long-term-analyst Deep-Dives run this session (LITE, MU, UBER), UBER is the only one where the current price sits below a DCF scenario (Base case) rather than above even the Bull case — a genuinely different, more calibrated valuation setup. The business itself shows real multi-year improvement (profitability, FCF, buybacks, both-sided network growth), and management is buying stock into weakness for the first time in four years. But this is explicitly not a COMPOUNDER-tier call: the Waymo exclusivity-ending news is a confirmed, dated, structural test of the network-effects moat that Fisher's #11, Mauboussin's CAP estimate, and the Marketplaces sector appendix's take-rate/liquidity test all independently flag as the single biggest open question. What would most change this verdict: whether Uber's own AV-aggregator bets (Lucid/Nuro, Rivian) scale fast enough and broadly enough to offset further Waymo-style defections before those defections materially dent the take rate or MAPC growth — a question the next 2-4 quarterly reports should start to answer.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2026-09-22T16:33:44.915Z</dcterms:created>
  <dcterms:modified xsi:type="dcterms:W3CDTF">2026-09-22T16:33:44.920Z</dcterms:modified>
</cp:coreProperties>
</file>

<file path=docProps/custom.xml><?xml version="1.0" encoding="utf-8"?>
<Properties xmlns="http://schemas.openxmlformats.org/officeDocument/2006/custom-properties" xmlns:vt="http://schemas.openxmlformats.org/officeDocument/2006/docPropsVTypes"/>
</file>