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AB14E9" w14:textId="77777777" w:rsidR="00EB0E83" w:rsidRDefault="00000000">
      <w:pPr>
        <w:jc w:val="center"/>
      </w:pPr>
      <w:r>
        <w:rPr>
          <w:b/>
          <w:color w:val="1F3864"/>
          <w:sz w:val="48"/>
        </w:rPr>
        <w:t>CONTEMPORARY AMPEREX TECHNOLOGY (CATL)</w:t>
      </w:r>
    </w:p>
    <w:p w14:paraId="4C4E1705" w14:textId="77777777" w:rsidR="00EB0E83" w:rsidRDefault="00000000">
      <w:pPr>
        <w:jc w:val="center"/>
      </w:pPr>
      <w:r>
        <w:rPr>
          <w:color w:val="2E5395"/>
          <w:sz w:val="28"/>
        </w:rPr>
        <w:t>Report Long-Term Conviction — Deep-Dive Mode (Report in Italiano)</w:t>
      </w:r>
    </w:p>
    <w:p w14:paraId="6AD5F5A1" w14:textId="77777777" w:rsidR="00EB0E83" w:rsidRPr="009975F8" w:rsidRDefault="00000000">
      <w:pPr>
        <w:jc w:val="center"/>
        <w:rPr>
          <w:lang w:val="it-IT"/>
        </w:rPr>
      </w:pPr>
      <w:r w:rsidRPr="009975F8">
        <w:rPr>
          <w:i/>
          <w:color w:val="595959"/>
          <w:sz w:val="20"/>
          <w:lang w:val="it-IT"/>
        </w:rPr>
        <w:t>Ticker: 300750.SZ (A-</w:t>
      </w:r>
      <w:proofErr w:type="gramStart"/>
      <w:r w:rsidRPr="009975F8">
        <w:rPr>
          <w:i/>
          <w:color w:val="595959"/>
          <w:sz w:val="20"/>
          <w:lang w:val="it-IT"/>
        </w:rPr>
        <w:t>share)  |</w:t>
      </w:r>
      <w:proofErr w:type="gramEnd"/>
      <w:r w:rsidRPr="009975F8">
        <w:rPr>
          <w:i/>
          <w:color w:val="595959"/>
          <w:sz w:val="20"/>
          <w:lang w:val="it-IT"/>
        </w:rPr>
        <w:t xml:space="preserve">  Track: B-</w:t>
      </w:r>
      <w:proofErr w:type="gramStart"/>
      <w:r w:rsidRPr="009975F8">
        <w:rPr>
          <w:i/>
          <w:color w:val="595959"/>
          <w:sz w:val="20"/>
          <w:lang w:val="it-IT"/>
        </w:rPr>
        <w:t>RN  |</w:t>
      </w:r>
      <w:proofErr w:type="gramEnd"/>
      <w:r w:rsidRPr="009975F8">
        <w:rPr>
          <w:i/>
          <w:color w:val="595959"/>
          <w:sz w:val="20"/>
          <w:lang w:val="it-IT"/>
        </w:rPr>
        <w:t xml:space="preserve">  Prezzo di produzione: ¥</w:t>
      </w:r>
      <w:proofErr w:type="gramStart"/>
      <w:r w:rsidRPr="009975F8">
        <w:rPr>
          <w:i/>
          <w:color w:val="595959"/>
          <w:sz w:val="20"/>
          <w:lang w:val="it-IT"/>
        </w:rPr>
        <w:t>337.11  |</w:t>
      </w:r>
      <w:proofErr w:type="gramEnd"/>
      <w:r w:rsidRPr="009975F8">
        <w:rPr>
          <w:i/>
          <w:color w:val="595959"/>
          <w:sz w:val="20"/>
          <w:lang w:val="it-IT"/>
        </w:rPr>
        <w:t xml:space="preserve">  Data: 2026-09-15</w:t>
      </w:r>
    </w:p>
    <w:p w14:paraId="2D3D0106" w14:textId="77777777" w:rsidR="00EB0E83" w:rsidRPr="009975F8" w:rsidRDefault="00EB0E83">
      <w:pPr>
        <w:rPr>
          <w:lang w:val="it-I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EB0E83" w14:paraId="44D93563" w14:textId="77777777">
        <w:tc>
          <w:tcPr>
            <w:tcW w:w="8640" w:type="dxa"/>
            <w:shd w:val="clear" w:color="auto" w:fill="2E7D32"/>
          </w:tcPr>
          <w:p w14:paraId="185D0D70" w14:textId="77777777" w:rsidR="00EB0E83" w:rsidRDefault="00000000">
            <w:r>
              <w:rPr>
                <w:b/>
                <w:color w:val="FFFFFF"/>
                <w:sz w:val="20"/>
              </w:rPr>
              <w:t>VERDETTO</w:t>
            </w:r>
          </w:p>
        </w:tc>
      </w:tr>
      <w:tr w:rsidR="00EB0E83" w:rsidRPr="009975F8" w14:paraId="33770608" w14:textId="77777777">
        <w:tc>
          <w:tcPr>
            <w:tcW w:w="8640" w:type="dxa"/>
            <w:shd w:val="clear" w:color="auto" w:fill="E8F5E9"/>
          </w:tcPr>
          <w:p w14:paraId="5BE1FD8A" w14:textId="77777777" w:rsidR="00EB0E83" w:rsidRDefault="00000000">
            <w:r>
              <w:rPr>
                <w:b/>
              </w:rPr>
              <w:t>F-Rating: FAIR-TO-UNDERVALUED   |   MoS Gate: NONE/BEAR (dipende dal prezzo esatto)   |   Compounder: QUALITY (vicino a COMPOUNDER)   |   AI Impact: NEUTRAL-TAILWIND</w:t>
            </w:r>
          </w:p>
          <w:p w14:paraId="07C88A87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20"/>
                <w:lang w:val="it-IT"/>
              </w:rPr>
              <w:t>DCF Bear / Base / Bull: ¥321.98 / ¥748.79 / ¥1,597.97 per azione — a ¥337.11 il prezzo è appena sopra il Bear case (+4.7%); a ¥316.36 (dato "corrente" Yahoo) sarebbe sotto il Bear case — il verdetto dipende da quale prezzo è quello vero.</w:t>
            </w:r>
          </w:p>
        </w:tc>
      </w:tr>
    </w:tbl>
    <w:p w14:paraId="782F2217" w14:textId="77777777" w:rsidR="00EB0E83" w:rsidRPr="009975F8" w:rsidRDefault="00EB0E83">
      <w:pPr>
        <w:rPr>
          <w:lang w:val="it-IT"/>
        </w:rPr>
      </w:pPr>
    </w:p>
    <w:p w14:paraId="433BCD9B" w14:textId="77777777" w:rsidR="00EB0E83" w:rsidRPr="009975F8" w:rsidRDefault="00000000">
      <w:pPr>
        <w:rPr>
          <w:lang w:val="it-IT"/>
        </w:rPr>
      </w:pPr>
      <w:r w:rsidRPr="009975F8">
        <w:rPr>
          <w:i/>
          <w:color w:val="808080"/>
          <w:sz w:val="18"/>
          <w:lang w:val="it-IT"/>
        </w:rPr>
        <w:t>Questa è un'analisi di conviction long-term personale, prodotta dall'agente long-term-analyst.md (Deep-Dive Mode). Non è una pubblicazione per abbonati e non ha alcun apparato di disclosure MAR/regolamentare — quel binario è separato (publishing/). Ogni cifra è sourced e datata; i DCF sono scenario modelling illustrativo, non una previsione precisa.</w:t>
      </w:r>
    </w:p>
    <w:p w14:paraId="684B99E2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375B667E" w14:textId="77777777" w:rsidR="00EB0E83" w:rsidRDefault="00000000">
      <w:pPr>
        <w:pStyle w:val="Heading1"/>
      </w:pPr>
      <w:r>
        <w:rPr>
          <w:color w:val="1F3864"/>
        </w:rPr>
        <w:lastRenderedPageBreak/>
        <w:t>Indice</w:t>
      </w:r>
    </w:p>
    <w:p w14:paraId="4877BF1F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0. Recent Context — Ultimi Risultati e Notizie</w:t>
      </w:r>
    </w:p>
    <w:p w14:paraId="34EBEFD0" w14:textId="77777777" w:rsidR="00EB0E83" w:rsidRDefault="00000000">
      <w:pPr>
        <w:pStyle w:val="ListBullet"/>
      </w:pPr>
      <w:r>
        <w:rPr>
          <w:sz w:val="20"/>
        </w:rPr>
        <w:t>1. Business Overview</w:t>
      </w:r>
    </w:p>
    <w:p w14:paraId="5A5BD973" w14:textId="77777777" w:rsidR="00EB0E83" w:rsidRDefault="00000000">
      <w:pPr>
        <w:pStyle w:val="ListBullet"/>
      </w:pPr>
      <w:r>
        <w:rPr>
          <w:sz w:val="20"/>
        </w:rPr>
        <w:t>2. Routing</w:t>
      </w:r>
    </w:p>
    <w:p w14:paraId="10B1F748" w14:textId="77777777" w:rsidR="00EB0E83" w:rsidRDefault="00000000">
      <w:pPr>
        <w:pStyle w:val="ListBullet"/>
      </w:pPr>
      <w:r>
        <w:rPr>
          <w:sz w:val="20"/>
        </w:rPr>
        <w:t>3. Categorizzazione (Lynch)</w:t>
      </w:r>
    </w:p>
    <w:p w14:paraId="16684B38" w14:textId="77777777" w:rsidR="00EB0E83" w:rsidRDefault="00000000">
      <w:pPr>
        <w:pStyle w:val="ListBullet"/>
      </w:pPr>
      <w:r>
        <w:rPr>
          <w:sz w:val="20"/>
        </w:rPr>
        <w:t>4. Qualità Earnings (Penman)</w:t>
      </w:r>
    </w:p>
    <w:p w14:paraId="3A1A5074" w14:textId="77777777" w:rsidR="00EB0E83" w:rsidRDefault="00000000">
      <w:pPr>
        <w:pStyle w:val="ListBullet"/>
      </w:pPr>
      <w:r>
        <w:rPr>
          <w:sz w:val="20"/>
        </w:rPr>
        <w:t>5. Valutazione — DCF (Koller)</w:t>
      </w:r>
    </w:p>
    <w:p w14:paraId="1E8D32F5" w14:textId="77777777" w:rsidR="00EB0E83" w:rsidRDefault="00000000">
      <w:pPr>
        <w:pStyle w:val="ListBullet"/>
      </w:pPr>
      <w:r>
        <w:rPr>
          <w:sz w:val="20"/>
        </w:rPr>
        <w:t>6. Mauboussin — Price-Implied Expectations</w:t>
      </w:r>
    </w:p>
    <w:p w14:paraId="29E8990D" w14:textId="77777777" w:rsidR="00EB0E83" w:rsidRDefault="00000000">
      <w:pPr>
        <w:pStyle w:val="ListBullet"/>
      </w:pPr>
      <w:r>
        <w:rPr>
          <w:sz w:val="20"/>
        </w:rPr>
        <w:t>7. Fisher — Checklist Qualitativa</w:t>
      </w:r>
    </w:p>
    <w:p w14:paraId="5B445C77" w14:textId="77777777" w:rsidR="00EB0E83" w:rsidRDefault="00000000">
      <w:pPr>
        <w:pStyle w:val="ListBullet"/>
      </w:pPr>
      <w:r>
        <w:rPr>
          <w:sz w:val="20"/>
        </w:rPr>
        <w:t>8. Ilmanen — Lettura Fattori</w:t>
      </w:r>
    </w:p>
    <w:p w14:paraId="689C2BC7" w14:textId="77777777" w:rsidR="00EB0E83" w:rsidRDefault="00000000">
      <w:pPr>
        <w:pStyle w:val="ListBullet"/>
      </w:pPr>
      <w:r>
        <w:rPr>
          <w:sz w:val="20"/>
        </w:rPr>
        <w:t>9. Quality Compounder Screen</w:t>
      </w:r>
    </w:p>
    <w:p w14:paraId="4A48565F" w14:textId="77777777" w:rsidR="00EB0E83" w:rsidRDefault="00000000">
      <w:pPr>
        <w:pStyle w:val="ListBullet"/>
      </w:pPr>
      <w:r>
        <w:rPr>
          <w:sz w:val="20"/>
        </w:rPr>
        <w:t>10. Sector Appendix</w:t>
      </w:r>
    </w:p>
    <w:p w14:paraId="542655A0" w14:textId="77777777" w:rsidR="00EB0E83" w:rsidRDefault="00000000">
      <w:pPr>
        <w:pStyle w:val="ListBullet"/>
      </w:pPr>
      <w:r>
        <w:rPr>
          <w:sz w:val="20"/>
        </w:rPr>
        <w:t>11. Five-Year Ratio Trend Analysis</w:t>
      </w:r>
    </w:p>
    <w:p w14:paraId="5DAFB02B" w14:textId="77777777" w:rsidR="00EB0E83" w:rsidRDefault="00000000">
      <w:pPr>
        <w:pStyle w:val="ListBullet"/>
      </w:pPr>
      <w:r>
        <w:rPr>
          <w:sz w:val="20"/>
        </w:rPr>
        <w:t>12. Verdetto Finale</w:t>
      </w:r>
    </w:p>
    <w:p w14:paraId="380641AE" w14:textId="77777777" w:rsidR="00EB0E83" w:rsidRDefault="00000000">
      <w:r>
        <w:br w:type="page"/>
      </w:r>
    </w:p>
    <w:p w14:paraId="631284CE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lastRenderedPageBreak/>
        <w:t>0. Recent Context — Ultimi Risultati e Notizie</w:t>
      </w:r>
    </w:p>
    <w:p w14:paraId="587DAF72" w14:textId="77777777" w:rsidR="00EB0E83" w:rsidRDefault="00000000">
      <w:pPr>
        <w:pStyle w:val="Heading2"/>
      </w:pPr>
      <w:r>
        <w:rPr>
          <w:color w:val="2E5395"/>
        </w:rPr>
        <w:t>Ultima trimestrale (Q2 2026)</w:t>
      </w:r>
    </w:p>
    <w:p w14:paraId="68C095BB" w14:textId="77777777" w:rsidR="00EB0E83" w:rsidRDefault="00000000">
      <w:pPr>
        <w:pStyle w:val="ListBullet"/>
      </w:pPr>
      <w:r w:rsidRPr="009975F8">
        <w:rPr>
          <w:sz w:val="20"/>
          <w:lang w:val="it-IT"/>
        </w:rPr>
        <w:t xml:space="preserve">Ricavi ¥147.79B, +56.92% YoY (vs ¥94.18B Q2 2025) — finestra trimestrale. </w:t>
      </w:r>
      <w:r>
        <w:rPr>
          <w:sz w:val="20"/>
        </w:rPr>
        <w:t>Leggermente sotto consensus (¥148.6B attesi).</w:t>
      </w:r>
    </w:p>
    <w:p w14:paraId="3F3D27A9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Utile netto ¥22.5B, +36.5% YoY — anche sotto attese (¥23.4B).</w:t>
      </w:r>
    </w:p>
    <w:p w14:paraId="28275A7C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H1 2026 (finestra semestrale): ricavi ¥276.92B (+54.80% YoY), utile netto ¥43.28B (+41.98% YoY).</w:t>
      </w:r>
    </w:p>
    <w:p w14:paraId="08C70398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Causa del miss: domanda EV in Cina in indebolimento, parzialmente compensata dal boom energy storage.</w:t>
      </w:r>
    </w:p>
    <w:p w14:paraId="55E188B4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Quota di mercato globale batterie EV: 40.2% (era 38% nel 2024, 36% nel 2023).</w:t>
      </w:r>
    </w:p>
    <w:p w14:paraId="48463ADB" w14:textId="77777777" w:rsidR="00EB0E83" w:rsidRPr="009975F8" w:rsidRDefault="00000000">
      <w:pPr>
        <w:pStyle w:val="Heading2"/>
        <w:rPr>
          <w:lang w:val="it-IT"/>
        </w:rPr>
      </w:pPr>
      <w:r w:rsidRPr="009975F8">
        <w:rPr>
          <w:color w:val="2E5395"/>
          <w:lang w:val="it-IT"/>
        </w:rPr>
        <w:t>Contesto storico (necessario per capire il pattern volatile)</w:t>
      </w:r>
    </w:p>
    <w:p w14:paraId="494CB8C0" w14:textId="77777777" w:rsidR="00EB0E83" w:rsidRDefault="00000000">
      <w:pPr>
        <w:pStyle w:val="ListBullet"/>
      </w:pPr>
      <w:r w:rsidRPr="009975F8">
        <w:rPr>
          <w:sz w:val="20"/>
          <w:lang w:val="it-IT"/>
        </w:rPr>
        <w:t xml:space="preserve">FY2024: primo calo ricavi mai registrato da CATL — ¥362.0B vs ¥400.9B FY2023 (-9.7% YoY, finestra annuale). Causa: pass-through prezzi litio (materia prima), non calo domanda — le installazioni batterie EV sono salite +47.2% nello stesso anno. </w:t>
      </w:r>
      <w:r>
        <w:rPr>
          <w:sz w:val="20"/>
        </w:rPr>
        <w:t>Utile netto comunque +15.0%.</w:t>
      </w:r>
    </w:p>
    <w:p w14:paraId="1F588BBF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FY2025-2026: forte riaccelerazione — ricavi FY2025 ¥423.7B (+17.0% YoY), poi H1 2026 al +54.8% YoY.</w:t>
      </w:r>
    </w:p>
    <w:p w14:paraId="22F5EABE" w14:textId="77777777" w:rsidR="00EB0E83" w:rsidRDefault="00000000">
      <w:pPr>
        <w:pStyle w:val="Heading2"/>
      </w:pPr>
      <w:r>
        <w:rPr>
          <w:color w:val="2E5395"/>
        </w:rPr>
        <w:t>Notizie recenti</w:t>
      </w:r>
    </w:p>
    <w:p w14:paraId="4F3B3205" w14:textId="77777777" w:rsidR="00EB0E83" w:rsidRDefault="00000000">
      <w:pPr>
        <w:pStyle w:val="ListBullet"/>
      </w:pPr>
      <w:r w:rsidRPr="009975F8">
        <w:rPr>
          <w:sz w:val="20"/>
          <w:lang w:val="it-IT"/>
        </w:rPr>
        <w:t xml:space="preserve">Aumento di capitale diluitivo a Hong Kong: 62.4M nuove H-shares a HK$628.20 (sconto 7%) — titolo HK -6.7%/-7.6% all'annuncio. </w:t>
      </w:r>
      <w:r>
        <w:rPr>
          <w:sz w:val="20"/>
        </w:rPr>
        <w:t>Raccolta: almeno $5B, il più grande collocamento HK del 2026.</w:t>
      </w:r>
    </w:p>
    <w:p w14:paraId="2CFAD018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H-shares (IPO maggio 2025) +137% da IPO nonostante il calo recente — P/E 30.9x, P/B 6.9x vs A-share P/E 16.9x, P/B 3.8x — divario A/H insolito (di norma le A-share cinesi trattano a premio, qui è il contrario).</w:t>
      </w:r>
    </w:p>
    <w:p w14:paraId="2D0E003D" w14:textId="77777777" w:rsidR="00EB0E83" w:rsidRDefault="00000000">
      <w:pPr>
        <w:pStyle w:val="ListBullet"/>
      </w:pPr>
      <w:r>
        <w:rPr>
          <w:sz w:val="20"/>
        </w:rPr>
        <w:t>Piano dividendi: $2.8B annunciato.</w:t>
      </w:r>
    </w:p>
    <w:p w14:paraId="0D2BDDA2" w14:textId="77777777" w:rsidR="00EB0E83" w:rsidRDefault="00EB0E83"/>
    <w:p w14:paraId="66E24F8A" w14:textId="77777777" w:rsidR="00EB0E83" w:rsidRPr="009975F8" w:rsidRDefault="00000000">
      <w:pPr>
        <w:rPr>
          <w:lang w:val="it-IT"/>
        </w:rPr>
      </w:pPr>
      <w:r w:rsidRPr="009975F8">
        <w:rPr>
          <w:b/>
          <w:sz w:val="20"/>
          <w:lang w:val="it-IT"/>
        </w:rPr>
        <w:t xml:space="preserve">Nota sul prezzo: </w:t>
      </w:r>
      <w:r w:rsidRPr="009975F8">
        <w:rPr>
          <w:sz w:val="20"/>
          <w:lang w:val="it-IT"/>
        </w:rPr>
        <w:t>la chiusura confermata più recente (14/9) è ¥337.11; il campo "prezzo corrente" di Yahoo mostra ¥316.36 (vicino al minimo 52 settimane di ¥316.00), con volume del 15/9 quasi raddoppiato (48M vs media ~26M) — possibile ulteriore calo intraday, coerente col sell-off globale su tech/semiconduttori tracciato oggi in questa sessione. Uso ¥337.11 come prezzo di produzione, ma la differenza è rilevante e va verificata.</w:t>
      </w:r>
    </w:p>
    <w:p w14:paraId="13124A1C" w14:textId="77777777" w:rsidR="00EB0E83" w:rsidRPr="009975F8" w:rsidRDefault="00EB0E83">
      <w:pPr>
        <w:rPr>
          <w:lang w:val="it-IT"/>
        </w:rPr>
      </w:pPr>
    </w:p>
    <w:p w14:paraId="3FB1DA01" w14:textId="77777777" w:rsidR="00EB0E83" w:rsidRDefault="00000000">
      <w:r>
        <w:rPr>
          <w:i/>
          <w:color w:val="808080"/>
          <w:sz w:val="17"/>
        </w:rPr>
        <w:t>Fonti: Bloomberg, SCMP, IndexBox, Electrek, TechNode, CNBC, Asiabits (lug-set 2026).</w:t>
      </w:r>
    </w:p>
    <w:p w14:paraId="25053D4B" w14:textId="77777777" w:rsidR="00EB0E83" w:rsidRDefault="00000000">
      <w:r>
        <w:br w:type="page"/>
      </w:r>
    </w:p>
    <w:p w14:paraId="550D336C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lastRenderedPageBreak/>
        <w:t>1. Business Overview</w:t>
      </w:r>
    </w:p>
    <w:p w14:paraId="767A9384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Segmenti: batterie per veicoli elettrici (power battery, core storico) e sistemi di accumulo energetico (energy storage battery, segmento in più forte crescita oggi). Leader mondiale in entrambi.</w:t>
      </w:r>
    </w:p>
    <w:p w14:paraId="577A34A0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Mercati principali: Cina (base storica, domanda EV in rallentamento) + espansione internazionale (BMW, Tesla, Stellantis tra i clienti noti) + stabilimenti in Europa (Germania, Ungheria). La quotazione H-shares a Hong Kong (2025) finanzia esplicitamente l'espansione overseas.</w:t>
      </w:r>
    </w:p>
    <w:p w14:paraId="0641B9C4" w14:textId="6D1370BB" w:rsidR="00EB0E83" w:rsidRPr="009975F8" w:rsidRDefault="00000000">
      <w:pPr>
        <w:rPr>
          <w:lang w:val="it-IT"/>
        </w:rPr>
      </w:pPr>
      <w:r w:rsidRPr="009975F8">
        <w:rPr>
          <w:i/>
          <w:sz w:val="20"/>
          <w:lang w:val="it-IT"/>
        </w:rPr>
        <w:t xml:space="preserve">TAM: nessuna cifra ufficiale </w:t>
      </w:r>
      <w:r w:rsidR="009975F8" w:rsidRPr="009975F8">
        <w:rPr>
          <w:i/>
          <w:sz w:val="20"/>
          <w:lang w:val="it-IT"/>
        </w:rPr>
        <w:t>rivelata</w:t>
      </w:r>
      <w:r w:rsidRPr="009975F8">
        <w:rPr>
          <w:i/>
          <w:sz w:val="20"/>
          <w:lang w:val="it-IT"/>
        </w:rPr>
        <w:t xml:space="preserve"> da CATL trovata — la narrativa "elettrificazione + accumulo energetico" è ampiamente di terze parti.</w:t>
      </w:r>
    </w:p>
    <w:p w14:paraId="22804D4D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t>2. Routing</w:t>
      </w:r>
    </w:p>
    <w:p w14:paraId="2F22462F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Track B (crescita, metriche settore-specifiche) — nessuna categoria dedicata "batterie EV" nel Sector Appendix; fit più vicino: Renewables &amp; Clean Energy (Track B/C-RN), usato come riferimento parziale insieme a Koller DCF come ancora primaria.</w:t>
      </w:r>
    </w:p>
    <w:p w14:paraId="50EB504A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t>3. Categorizzazione (Lynch)</w:t>
      </w:r>
    </w:p>
    <w:p w14:paraId="6E741134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Fast Grower con una parentesi Cyclical — crescita tipicamente 20%+ ma con un anno (FY2024) di calo ricavi da pass-through prezzi materie prime, non da domanda strutturale.</w:t>
      </w:r>
    </w:p>
    <w:p w14:paraId="75C4EE6D" w14:textId="77777777" w:rsidR="00EB0E83" w:rsidRDefault="00000000">
      <w:pPr>
        <w:pStyle w:val="Heading1"/>
      </w:pPr>
      <w:r>
        <w:rPr>
          <w:color w:val="1F3864"/>
        </w:rPr>
        <w:t>4. Qualità Earnings (Penman)</w:t>
      </w:r>
    </w:p>
    <w:p w14:paraId="1EFBB313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ROIC in miglioramento costante da 4 anni: 11.6% -&gt; 13.9% -&gt; 15.2% -&gt; 16.1% (FY2025) — trend opposto a RKLB/WM/FCX (tutti in calo).</w:t>
      </w:r>
    </w:p>
    <w:p w14:paraId="3911B3E6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FCF/NI eccezionale: 126-134% negli ultimi 3 anni.</w:t>
      </w:r>
    </w:p>
    <w:p w14:paraId="772F49C8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Diluizione FY2025: +3.64% — riconducibile direttamente al collocamento H-shares a Hong Kong (causa identificata).</w:t>
      </w:r>
    </w:p>
    <w:p w14:paraId="6C2E6594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Nessun segnale di accrual inflation.</w:t>
      </w:r>
    </w:p>
    <w:p w14:paraId="4AFBDC92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3B49A5FB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lastRenderedPageBreak/>
        <w:t>5. Valutazione — DCF (Koller)</w:t>
      </w:r>
    </w:p>
    <w:p w14:paraId="137158F7" w14:textId="77777777" w:rsidR="00EB0E83" w:rsidRPr="009975F8" w:rsidRDefault="00000000">
      <w:pPr>
        <w:rPr>
          <w:lang w:val="it-IT"/>
        </w:rPr>
      </w:pPr>
      <w:r w:rsidRPr="009975F8">
        <w:rPr>
          <w:b/>
          <w:sz w:val="20"/>
          <w:lang w:val="it-IT"/>
        </w:rPr>
        <w:t xml:space="preserve">Nota metodologica importante: </w:t>
      </w:r>
      <w:r w:rsidRPr="009975F8">
        <w:rPr>
          <w:sz w:val="20"/>
          <w:lang w:val="it-IT"/>
        </w:rPr>
        <w:t>il calcolo standard "Invested Capital = Equity + Debito - Cassa" si rompe per un'azienda con cassa così enorme (¥440B) — dava un ROIC assurdo (151%). Ho usato invece l'Invested Capital operativo (¥431.7B, fonte: bilancio), che dà un ROIC sensato (16.1%, coerente con la Sezione 4).</w:t>
      </w:r>
    </w:p>
    <w:p w14:paraId="7E6EB9D8" w14:textId="77777777" w:rsidR="00EB0E83" w:rsidRPr="009975F8" w:rsidRDefault="00EB0E83">
      <w:pPr>
        <w:rPr>
          <w:lang w:val="it-IT"/>
        </w:rPr>
      </w:pPr>
    </w:p>
    <w:p w14:paraId="78DC838F" w14:textId="77777777" w:rsidR="00EB0E83" w:rsidRPr="009975F8" w:rsidRDefault="00000000">
      <w:pPr>
        <w:pStyle w:val="Heading2"/>
        <w:rPr>
          <w:lang w:val="it-IT"/>
        </w:rPr>
      </w:pPr>
      <w:r w:rsidRPr="009975F8">
        <w:rPr>
          <w:color w:val="2E5395"/>
          <w:lang w:val="it-IT"/>
        </w:rPr>
        <w:t>WACC</w:t>
      </w:r>
    </w:p>
    <w:p w14:paraId="3EAFFAF6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Usato il 10Y cinese (1.68%), non l'UST, dato che l'azienda è denominata in CNY.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B0E83" w14:paraId="54849BAD" w14:textId="77777777">
        <w:trPr>
          <w:jc w:val="center"/>
        </w:trPr>
        <w:tc>
          <w:tcPr>
            <w:tcW w:w="4320" w:type="dxa"/>
            <w:shd w:val="clear" w:color="auto" w:fill="1F3864"/>
          </w:tcPr>
          <w:p w14:paraId="003B8C82" w14:textId="77777777" w:rsidR="00EB0E83" w:rsidRDefault="00000000"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w="4320" w:type="dxa"/>
            <w:shd w:val="clear" w:color="auto" w:fill="1F3864"/>
          </w:tcPr>
          <w:p w14:paraId="078A023D" w14:textId="77777777" w:rsidR="00EB0E83" w:rsidRDefault="00000000">
            <w:r>
              <w:rPr>
                <w:b/>
                <w:color w:val="FFFFFF"/>
                <w:sz w:val="17"/>
              </w:rPr>
              <w:t>Valore</w:t>
            </w:r>
          </w:p>
        </w:tc>
      </w:tr>
      <w:tr w:rsidR="00EB0E83" w14:paraId="1CDBF0DA" w14:textId="77777777">
        <w:trPr>
          <w:jc w:val="center"/>
        </w:trPr>
        <w:tc>
          <w:tcPr>
            <w:tcW w:w="4320" w:type="dxa"/>
          </w:tcPr>
          <w:p w14:paraId="7E5528EE" w14:textId="77777777" w:rsidR="00EB0E83" w:rsidRDefault="00000000">
            <w:r>
              <w:rPr>
                <w:sz w:val="17"/>
              </w:rPr>
              <w:t>Risk-free (10Y Cina)</w:t>
            </w:r>
          </w:p>
        </w:tc>
        <w:tc>
          <w:tcPr>
            <w:tcW w:w="4320" w:type="dxa"/>
          </w:tcPr>
          <w:p w14:paraId="2410355D" w14:textId="77777777" w:rsidR="00EB0E83" w:rsidRDefault="00000000">
            <w:r>
              <w:rPr>
                <w:sz w:val="17"/>
              </w:rPr>
              <w:t>1.68%</w:t>
            </w:r>
          </w:p>
        </w:tc>
      </w:tr>
      <w:tr w:rsidR="00EB0E83" w14:paraId="221AAAFA" w14:textId="77777777">
        <w:trPr>
          <w:jc w:val="center"/>
        </w:trPr>
        <w:tc>
          <w:tcPr>
            <w:tcW w:w="4320" w:type="dxa"/>
          </w:tcPr>
          <w:p w14:paraId="3CB39A49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ERP Cina (assunzione — premio più alto di US/EU)</w:t>
            </w:r>
          </w:p>
        </w:tc>
        <w:tc>
          <w:tcPr>
            <w:tcW w:w="4320" w:type="dxa"/>
          </w:tcPr>
          <w:p w14:paraId="5132BA1C" w14:textId="77777777" w:rsidR="00EB0E83" w:rsidRDefault="00000000">
            <w:r>
              <w:rPr>
                <w:sz w:val="17"/>
              </w:rPr>
              <w:t>6.0%</w:t>
            </w:r>
          </w:p>
        </w:tc>
      </w:tr>
      <w:tr w:rsidR="00EB0E83" w:rsidRPr="009975F8" w14:paraId="672FDCBC" w14:textId="77777777">
        <w:trPr>
          <w:jc w:val="center"/>
        </w:trPr>
        <w:tc>
          <w:tcPr>
            <w:tcW w:w="4320" w:type="dxa"/>
          </w:tcPr>
          <w:p w14:paraId="741DF463" w14:textId="77777777" w:rsidR="00EB0E83" w:rsidRDefault="00000000">
            <w:r>
              <w:rPr>
                <w:sz w:val="17"/>
              </w:rPr>
              <w:t>Beta (Yahoo, 5Y)</w:t>
            </w:r>
          </w:p>
        </w:tc>
        <w:tc>
          <w:tcPr>
            <w:tcW w:w="4320" w:type="dxa"/>
          </w:tcPr>
          <w:p w14:paraId="3C356351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0.434 — sospettosamente basso data la volatilità operativa reale (-9.7% a +56.9% in 18 mesi)</w:t>
            </w:r>
          </w:p>
        </w:tc>
      </w:tr>
      <w:tr w:rsidR="00EB0E83" w14:paraId="4963C142" w14:textId="77777777">
        <w:trPr>
          <w:jc w:val="center"/>
        </w:trPr>
        <w:tc>
          <w:tcPr>
            <w:tcW w:w="4320" w:type="dxa"/>
          </w:tcPr>
          <w:p w14:paraId="32340EFC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Beta stress-testato (usato nel DCF)</w:t>
            </w:r>
          </w:p>
        </w:tc>
        <w:tc>
          <w:tcPr>
            <w:tcW w:w="4320" w:type="dxa"/>
          </w:tcPr>
          <w:p w14:paraId="122FA899" w14:textId="77777777" w:rsidR="00EB0E83" w:rsidRDefault="00000000">
            <w:r>
              <w:rPr>
                <w:sz w:val="17"/>
              </w:rPr>
              <w:t>0.9</w:t>
            </w:r>
          </w:p>
        </w:tc>
      </w:tr>
      <w:tr w:rsidR="00EB0E83" w14:paraId="55D97263" w14:textId="77777777">
        <w:trPr>
          <w:jc w:val="center"/>
        </w:trPr>
        <w:tc>
          <w:tcPr>
            <w:tcW w:w="4320" w:type="dxa"/>
          </w:tcPr>
          <w:p w14:paraId="12F9EC5A" w14:textId="77777777" w:rsidR="00EB0E83" w:rsidRDefault="00000000">
            <w:r>
              <w:rPr>
                <w:sz w:val="17"/>
              </w:rPr>
              <w:t>WACC (beta 0.9)</w:t>
            </w:r>
          </w:p>
        </w:tc>
        <w:tc>
          <w:tcPr>
            <w:tcW w:w="4320" w:type="dxa"/>
          </w:tcPr>
          <w:p w14:paraId="18ECF757" w14:textId="77777777" w:rsidR="00EB0E83" w:rsidRDefault="00000000">
            <w:r>
              <w:rPr>
                <w:sz w:val="17"/>
              </w:rPr>
              <w:t>6.70%</w:t>
            </w:r>
          </w:p>
        </w:tc>
      </w:tr>
    </w:tbl>
    <w:p w14:paraId="12061922" w14:textId="77777777" w:rsidR="00EB0E83" w:rsidRDefault="00EB0E83"/>
    <w:p w14:paraId="0EFEE6AD" w14:textId="77777777" w:rsidR="00EB0E83" w:rsidRPr="009975F8" w:rsidRDefault="00000000">
      <w:pPr>
        <w:rPr>
          <w:lang w:val="it-IT"/>
        </w:rPr>
      </w:pPr>
      <w:r w:rsidRPr="009975F8">
        <w:rPr>
          <w:b/>
          <w:sz w:val="20"/>
          <w:lang w:val="it-IT"/>
        </w:rPr>
        <w:t>ROIC vs WACC: 16.1% vs 6.70% -&gt; spread +9.35pp — tra i migliori di questa sessione.</w:t>
      </w:r>
    </w:p>
    <w:p w14:paraId="63E42C99" w14:textId="77777777" w:rsidR="00EB0E83" w:rsidRPr="009975F8" w:rsidRDefault="00EB0E83">
      <w:pPr>
        <w:rPr>
          <w:lang w:val="it-IT"/>
        </w:rPr>
      </w:pPr>
    </w:p>
    <w:p w14:paraId="438FDACC" w14:textId="77777777" w:rsidR="00EB0E83" w:rsidRPr="009975F8" w:rsidRDefault="00000000">
      <w:pPr>
        <w:pStyle w:val="Heading2"/>
        <w:rPr>
          <w:lang w:val="it-IT"/>
        </w:rPr>
      </w:pPr>
      <w:r w:rsidRPr="009975F8">
        <w:rPr>
          <w:color w:val="2E5395"/>
          <w:lang w:val="it-IT"/>
        </w:rPr>
        <w:t>Scenari (5 anni espliciti + terminal value, beta 0.9)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B0E83" w14:paraId="7AB88702" w14:textId="77777777">
        <w:trPr>
          <w:jc w:val="center"/>
        </w:trPr>
        <w:tc>
          <w:tcPr>
            <w:tcW w:w="2160" w:type="dxa"/>
            <w:shd w:val="clear" w:color="auto" w:fill="1F3864"/>
          </w:tcPr>
          <w:p w14:paraId="00C9AF90" w14:textId="77777777" w:rsidR="00EB0E83" w:rsidRDefault="00000000">
            <w:r>
              <w:rPr>
                <w:b/>
                <w:color w:val="FFFFFF"/>
                <w:sz w:val="17"/>
              </w:rPr>
              <w:t>Scenario</w:t>
            </w:r>
          </w:p>
        </w:tc>
        <w:tc>
          <w:tcPr>
            <w:tcW w:w="2160" w:type="dxa"/>
            <w:shd w:val="clear" w:color="auto" w:fill="1F3864"/>
          </w:tcPr>
          <w:p w14:paraId="5460C68F" w14:textId="77777777" w:rsidR="00EB0E83" w:rsidRDefault="00000000">
            <w:r>
              <w:rPr>
                <w:b/>
                <w:color w:val="FFFFFF"/>
                <w:sz w:val="17"/>
              </w:rPr>
              <w:t>Ricavi Y5</w:t>
            </w:r>
          </w:p>
        </w:tc>
        <w:tc>
          <w:tcPr>
            <w:tcW w:w="2160" w:type="dxa"/>
            <w:shd w:val="clear" w:color="auto" w:fill="1F3864"/>
          </w:tcPr>
          <w:p w14:paraId="1FAE2BFA" w14:textId="77777777" w:rsidR="00EB0E83" w:rsidRDefault="00000000">
            <w:r>
              <w:rPr>
                <w:b/>
                <w:color w:val="FFFFFF"/>
                <w:sz w:val="17"/>
              </w:rPr>
              <w:t>Margine NOPLAT</w:t>
            </w:r>
          </w:p>
        </w:tc>
        <w:tc>
          <w:tcPr>
            <w:tcW w:w="2160" w:type="dxa"/>
            <w:shd w:val="clear" w:color="auto" w:fill="1F3864"/>
          </w:tcPr>
          <w:p w14:paraId="77D9D475" w14:textId="77777777" w:rsidR="00EB0E83" w:rsidRDefault="00000000">
            <w:r>
              <w:rPr>
                <w:b/>
                <w:color w:val="FFFFFF"/>
                <w:sz w:val="17"/>
              </w:rPr>
              <w:t>Valore/azione</w:t>
            </w:r>
          </w:p>
        </w:tc>
      </w:tr>
      <w:tr w:rsidR="00EB0E83" w14:paraId="25226F41" w14:textId="77777777">
        <w:trPr>
          <w:jc w:val="center"/>
        </w:trPr>
        <w:tc>
          <w:tcPr>
            <w:tcW w:w="2160" w:type="dxa"/>
          </w:tcPr>
          <w:p w14:paraId="14205755" w14:textId="77777777" w:rsidR="00EB0E83" w:rsidRDefault="00000000">
            <w:r>
              <w:rPr>
                <w:sz w:val="17"/>
              </w:rPr>
              <w:t>Bear</w:t>
            </w:r>
          </w:p>
        </w:tc>
        <w:tc>
          <w:tcPr>
            <w:tcW w:w="2160" w:type="dxa"/>
          </w:tcPr>
          <w:p w14:paraId="37C3183E" w14:textId="77777777" w:rsidR="00EB0E83" w:rsidRDefault="00000000">
            <w:r>
              <w:rPr>
                <w:sz w:val="17"/>
              </w:rPr>
              <w:t>¥562B</w:t>
            </w:r>
          </w:p>
        </w:tc>
        <w:tc>
          <w:tcPr>
            <w:tcW w:w="2160" w:type="dxa"/>
          </w:tcPr>
          <w:p w14:paraId="5285DD7C" w14:textId="77777777" w:rsidR="00EB0E83" w:rsidRDefault="00000000">
            <w:r>
              <w:rPr>
                <w:sz w:val="17"/>
              </w:rPr>
              <w:t>11%</w:t>
            </w:r>
          </w:p>
        </w:tc>
        <w:tc>
          <w:tcPr>
            <w:tcW w:w="2160" w:type="dxa"/>
          </w:tcPr>
          <w:p w14:paraId="748ECB84" w14:textId="77777777" w:rsidR="00EB0E83" w:rsidRDefault="00000000">
            <w:r>
              <w:rPr>
                <w:sz w:val="17"/>
              </w:rPr>
              <w:t>¥321.98</w:t>
            </w:r>
          </w:p>
        </w:tc>
      </w:tr>
      <w:tr w:rsidR="00EB0E83" w14:paraId="675715E1" w14:textId="77777777">
        <w:trPr>
          <w:jc w:val="center"/>
        </w:trPr>
        <w:tc>
          <w:tcPr>
            <w:tcW w:w="2160" w:type="dxa"/>
          </w:tcPr>
          <w:p w14:paraId="3512E476" w14:textId="77777777" w:rsidR="00EB0E83" w:rsidRDefault="00000000">
            <w:r>
              <w:rPr>
                <w:sz w:val="17"/>
              </w:rPr>
              <w:t>Base</w:t>
            </w:r>
          </w:p>
        </w:tc>
        <w:tc>
          <w:tcPr>
            <w:tcW w:w="2160" w:type="dxa"/>
          </w:tcPr>
          <w:p w14:paraId="30D34029" w14:textId="77777777" w:rsidR="00EB0E83" w:rsidRDefault="00000000">
            <w:r>
              <w:rPr>
                <w:sz w:val="17"/>
              </w:rPr>
              <w:t>¥925B</w:t>
            </w:r>
          </w:p>
        </w:tc>
        <w:tc>
          <w:tcPr>
            <w:tcW w:w="2160" w:type="dxa"/>
          </w:tcPr>
          <w:p w14:paraId="33512EB3" w14:textId="77777777" w:rsidR="00EB0E83" w:rsidRDefault="00000000">
            <w:r>
              <w:rPr>
                <w:sz w:val="17"/>
              </w:rPr>
              <w:t>17%</w:t>
            </w:r>
          </w:p>
        </w:tc>
        <w:tc>
          <w:tcPr>
            <w:tcW w:w="2160" w:type="dxa"/>
          </w:tcPr>
          <w:p w14:paraId="4C795FA5" w14:textId="77777777" w:rsidR="00EB0E83" w:rsidRDefault="00000000">
            <w:r>
              <w:rPr>
                <w:sz w:val="17"/>
              </w:rPr>
              <w:t>¥748.79</w:t>
            </w:r>
          </w:p>
        </w:tc>
      </w:tr>
      <w:tr w:rsidR="00EB0E83" w14:paraId="5CDBD4BF" w14:textId="77777777">
        <w:trPr>
          <w:jc w:val="center"/>
        </w:trPr>
        <w:tc>
          <w:tcPr>
            <w:tcW w:w="2160" w:type="dxa"/>
          </w:tcPr>
          <w:p w14:paraId="12EF49E2" w14:textId="77777777" w:rsidR="00EB0E83" w:rsidRDefault="00000000">
            <w:r>
              <w:rPr>
                <w:sz w:val="17"/>
              </w:rPr>
              <w:t>Bull</w:t>
            </w:r>
          </w:p>
        </w:tc>
        <w:tc>
          <w:tcPr>
            <w:tcW w:w="2160" w:type="dxa"/>
          </w:tcPr>
          <w:p w14:paraId="00F22139" w14:textId="77777777" w:rsidR="00EB0E83" w:rsidRDefault="00000000">
            <w:r>
              <w:rPr>
                <w:sz w:val="17"/>
              </w:rPr>
              <w:t>¥1,362B</w:t>
            </w:r>
          </w:p>
        </w:tc>
        <w:tc>
          <w:tcPr>
            <w:tcW w:w="2160" w:type="dxa"/>
          </w:tcPr>
          <w:p w14:paraId="63F12B12" w14:textId="77777777" w:rsidR="00EB0E83" w:rsidRDefault="00000000">
            <w:r>
              <w:rPr>
                <w:sz w:val="17"/>
              </w:rPr>
              <w:t>22%</w:t>
            </w:r>
          </w:p>
        </w:tc>
        <w:tc>
          <w:tcPr>
            <w:tcW w:w="2160" w:type="dxa"/>
          </w:tcPr>
          <w:p w14:paraId="360E478E" w14:textId="77777777" w:rsidR="00EB0E83" w:rsidRDefault="00000000">
            <w:r>
              <w:rPr>
                <w:sz w:val="17"/>
              </w:rPr>
              <w:t>¥1,597.97</w:t>
            </w:r>
          </w:p>
        </w:tc>
      </w:tr>
    </w:tbl>
    <w:p w14:paraId="787D8C22" w14:textId="77777777" w:rsidR="00EB0E83" w:rsidRDefault="00EB0E83"/>
    <w:p w14:paraId="0375F203" w14:textId="77777777" w:rsidR="00EB0E83" w:rsidRPr="009975F8" w:rsidRDefault="00000000">
      <w:pPr>
        <w:rPr>
          <w:lang w:val="it-IT"/>
        </w:rPr>
      </w:pPr>
      <w:r w:rsidRPr="009975F8">
        <w:rPr>
          <w:b/>
          <w:sz w:val="20"/>
          <w:lang w:val="it-IT"/>
        </w:rPr>
        <w:t>Prezzo attuale: ¥337.11 — il primo caso in questa sessione dove il prezzo è vicinissimo al Bear case (+4.7%), non lontanissimo sotto.</w:t>
      </w:r>
    </w:p>
    <w:p w14:paraId="5ED201BA" w14:textId="77777777" w:rsidR="00EB0E83" w:rsidRPr="009975F8" w:rsidRDefault="00EB0E83">
      <w:pPr>
        <w:rPr>
          <w:lang w:val="it-IT"/>
        </w:rPr>
      </w:pPr>
    </w:p>
    <w:p w14:paraId="399935F4" w14:textId="77777777" w:rsidR="00EB0E83" w:rsidRPr="009975F8" w:rsidRDefault="00000000">
      <w:pPr>
        <w:pStyle w:val="Heading2"/>
        <w:rPr>
          <w:lang w:val="it-IT"/>
        </w:rPr>
      </w:pPr>
      <w:r w:rsidRPr="009975F8">
        <w:rPr>
          <w:color w:val="2E5395"/>
          <w:lang w:val="it-IT"/>
        </w:rPr>
        <w:t>MoS Gate: borderline NONE/BEAR — dipende dal prezzo esatto</w:t>
      </w:r>
    </w:p>
    <w:p w14:paraId="45B7B55F" w14:textId="77777777" w:rsidR="00EB0E83" w:rsidRPr="009975F8" w:rsidRDefault="00000000">
      <w:pPr>
        <w:rPr>
          <w:lang w:val="it-IT"/>
        </w:rPr>
      </w:pPr>
      <w:r w:rsidRPr="009975F8">
        <w:rPr>
          <w:b/>
          <w:color w:val="2E7D32"/>
          <w:lang w:val="it-IT"/>
        </w:rPr>
        <w:t>Con ¥337.11: MoS Gate NONE (margine minimo, +4.7% sopra Bear). Con ¥316.36 (se genuino): MoS Gate BEAR, il migliore possibile.</w:t>
      </w:r>
    </w:p>
    <w:p w14:paraId="33B5CE49" w14:textId="77777777" w:rsidR="00EB0E83" w:rsidRPr="009975F8" w:rsidRDefault="00000000">
      <w:pPr>
        <w:rPr>
          <w:lang w:val="it-IT"/>
        </w:rPr>
      </w:pPr>
      <w:r w:rsidRPr="009975F8">
        <w:rPr>
          <w:i/>
          <w:sz w:val="20"/>
          <w:lang w:val="it-IT"/>
        </w:rPr>
        <w:t>Red flag onesto sul Bull case: CV% = 101% (arrotondamento, ma sostanzialmente tutto il valore è nel terminal value) — zero valore dai flussi di cassa espliciti, bassissima confidenza su questo scenario.</w:t>
      </w:r>
    </w:p>
    <w:p w14:paraId="60B79904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7E7607C4" w14:textId="77777777" w:rsidR="00EB0E83" w:rsidRPr="009975F8" w:rsidRDefault="00000000">
      <w:pPr>
        <w:pStyle w:val="Heading1"/>
        <w:rPr>
          <w:lang w:val="it-IT"/>
        </w:rPr>
      </w:pPr>
      <w:r w:rsidRPr="009975F8">
        <w:rPr>
          <w:color w:val="1F3864"/>
          <w:lang w:val="it-IT"/>
        </w:rPr>
        <w:lastRenderedPageBreak/>
        <w:t>6. Mauboussin — Price-Implied Expectations</w:t>
      </w:r>
    </w:p>
    <w:p w14:paraId="1114D7D4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Dato il MoS Gate borderline, il prezzo di oggi non sta pagando per uno scenario aggressivo — anzi, sta pagando meno del caso Bear se il prezzo più basso (¥316) è quello reale. Insolito: il mercato potrebbe star scontando eccessivamente il rallentamento della domanda EV in Cina, senza dare credito al boom energy storage che sta già trainando i risultati.</w:t>
      </w:r>
    </w:p>
    <w:p w14:paraId="67A88999" w14:textId="77777777" w:rsidR="00EB0E83" w:rsidRPr="009975F8" w:rsidRDefault="00EB0E83">
      <w:pPr>
        <w:rPr>
          <w:lang w:val="it-IT"/>
        </w:rPr>
      </w:pPr>
    </w:p>
    <w:p w14:paraId="47B3AB84" w14:textId="77777777" w:rsidR="00EB0E83" w:rsidRDefault="00000000">
      <w:pPr>
        <w:pStyle w:val="Heading2"/>
      </w:pPr>
      <w:r>
        <w:rPr>
          <w:color w:val="2E5395"/>
        </w:rPr>
        <w:t>Moat &amp; Competitive Advantage Period (CAP)</w:t>
      </w:r>
    </w:p>
    <w:p w14:paraId="52C7C73C" w14:textId="77777777" w:rsidR="00EB0E83" w:rsidRDefault="00000000">
      <w:r w:rsidRPr="009975F8">
        <w:rPr>
          <w:sz w:val="20"/>
          <w:lang w:val="it-IT"/>
        </w:rPr>
        <w:t xml:space="preserve">Leadership di mercato 40.2% (in crescita), scala produttiva enorme, relazioni con case auto globali (switching cost reali per un cliente che ha già qualificato le batterie CATL su una piattaforma). </w:t>
      </w:r>
      <w:r>
        <w:rPr>
          <w:sz w:val="20"/>
        </w:rPr>
        <w:t>Wide moat, CAP 7-15y.</w:t>
      </w:r>
    </w:p>
    <w:p w14:paraId="5533324C" w14:textId="77777777" w:rsidR="00EB0E83" w:rsidRDefault="00000000">
      <w:pPr>
        <w:pStyle w:val="Heading1"/>
      </w:pPr>
      <w:r>
        <w:rPr>
          <w:color w:val="1F3864"/>
        </w:rPr>
        <w:t>7. Fisher — Checklist Qualitativa</w:t>
      </w:r>
    </w:p>
    <w:p w14:paraId="281D5DDC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#1 Mercato in crescita strutturale (elettrificazione + storage)</w:t>
      </w:r>
    </w:p>
    <w:p w14:paraId="09A68902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#5/#6 Margini in espansione netta e costante (lordo 20.3%-&gt;26.3%, EBIT 10.7%-&gt;19.2%)</w:t>
      </w:r>
    </w:p>
    <w:p w14:paraId="54E2BB29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#13 Diluizione FY2025 (+3.64%) da capital raise — non enorme, da monitorare se si ripete</w:t>
      </w:r>
    </w:p>
    <w:p w14:paraId="1932FEE5" w14:textId="77777777" w:rsidR="00EB0E83" w:rsidRPr="009975F8" w:rsidRDefault="00000000">
      <w:pPr>
        <w:pStyle w:val="ListBullet"/>
        <w:rPr>
          <w:lang w:val="it-IT"/>
        </w:rPr>
      </w:pPr>
      <w:r w:rsidRPr="009975F8">
        <w:rPr>
          <w:sz w:val="20"/>
          <w:lang w:val="it-IT"/>
        </w:rPr>
        <w:t>Nessun segnale di management evasivo o problemi di disclosure nei materiali trovati</w:t>
      </w:r>
    </w:p>
    <w:p w14:paraId="5469595A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6895BA71" w14:textId="77777777" w:rsidR="00EB0E83" w:rsidRDefault="00000000">
      <w:pPr>
        <w:pStyle w:val="Heading1"/>
      </w:pPr>
      <w:r>
        <w:rPr>
          <w:color w:val="1F3864"/>
        </w:rPr>
        <w:lastRenderedPageBreak/>
        <w:t>8. Ilmanen — Lettura Fattori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B0E83" w14:paraId="2D59F5A1" w14:textId="77777777">
        <w:trPr>
          <w:jc w:val="center"/>
        </w:trPr>
        <w:tc>
          <w:tcPr>
            <w:tcW w:w="4320" w:type="dxa"/>
            <w:shd w:val="clear" w:color="auto" w:fill="1F3864"/>
          </w:tcPr>
          <w:p w14:paraId="531E7EB4" w14:textId="77777777" w:rsidR="00EB0E83" w:rsidRDefault="00000000">
            <w:r>
              <w:rPr>
                <w:b/>
                <w:color w:val="FFFFFF"/>
                <w:sz w:val="17"/>
              </w:rPr>
              <w:t>Fattore</w:t>
            </w:r>
          </w:p>
        </w:tc>
        <w:tc>
          <w:tcPr>
            <w:tcW w:w="4320" w:type="dxa"/>
            <w:shd w:val="clear" w:color="auto" w:fill="1F3864"/>
          </w:tcPr>
          <w:p w14:paraId="53EFB0AE" w14:textId="77777777" w:rsidR="00EB0E83" w:rsidRDefault="00000000">
            <w:r>
              <w:rPr>
                <w:b/>
                <w:color w:val="FFFFFF"/>
                <w:sz w:val="17"/>
              </w:rPr>
              <w:t>Lettura</w:t>
            </w:r>
          </w:p>
        </w:tc>
      </w:tr>
      <w:tr w:rsidR="00EB0E83" w:rsidRPr="009975F8" w14:paraId="751E776F" w14:textId="77777777">
        <w:trPr>
          <w:jc w:val="center"/>
        </w:trPr>
        <w:tc>
          <w:tcPr>
            <w:tcW w:w="4320" w:type="dxa"/>
          </w:tcPr>
          <w:p w14:paraId="6F30E2F9" w14:textId="77777777" w:rsidR="00EB0E83" w:rsidRDefault="00000000">
            <w:r>
              <w:rPr>
                <w:sz w:val="17"/>
              </w:rPr>
              <w:t>Value</w:t>
            </w:r>
          </w:p>
        </w:tc>
        <w:tc>
          <w:tcPr>
            <w:tcW w:w="4320" w:type="dxa"/>
          </w:tcPr>
          <w:p w14:paraId="41806138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Presente — P/E 16.9x (A-share) su crescita 50%+ è oggettivamente a sconto</w:t>
            </w:r>
          </w:p>
        </w:tc>
      </w:tr>
      <w:tr w:rsidR="00EB0E83" w:rsidRPr="009975F8" w14:paraId="06D7B162" w14:textId="77777777">
        <w:trPr>
          <w:jc w:val="center"/>
        </w:trPr>
        <w:tc>
          <w:tcPr>
            <w:tcW w:w="4320" w:type="dxa"/>
          </w:tcPr>
          <w:p w14:paraId="2CD8D237" w14:textId="77777777" w:rsidR="00EB0E83" w:rsidRDefault="00000000">
            <w:r>
              <w:rPr>
                <w:sz w:val="17"/>
              </w:rPr>
              <w:t>Quality</w:t>
            </w:r>
          </w:p>
        </w:tc>
        <w:tc>
          <w:tcPr>
            <w:tcW w:w="4320" w:type="dxa"/>
          </w:tcPr>
          <w:p w14:paraId="1505493F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Molto forte — ROIC in salita, FCF/NI &gt;125%, margini in espansione</w:t>
            </w:r>
          </w:p>
        </w:tc>
      </w:tr>
      <w:tr w:rsidR="00EB0E83" w:rsidRPr="009975F8" w14:paraId="4940B81D" w14:textId="77777777">
        <w:trPr>
          <w:jc w:val="center"/>
        </w:trPr>
        <w:tc>
          <w:tcPr>
            <w:tcW w:w="4320" w:type="dxa"/>
          </w:tcPr>
          <w:p w14:paraId="1BBCB89F" w14:textId="77777777" w:rsidR="00EB0E83" w:rsidRDefault="00000000">
            <w:r>
              <w:rPr>
                <w:sz w:val="17"/>
              </w:rPr>
              <w:t>Momentum</w:t>
            </w:r>
          </w:p>
        </w:tc>
        <w:tc>
          <w:tcPr>
            <w:tcW w:w="4320" w:type="dxa"/>
          </w:tcPr>
          <w:p w14:paraId="32037232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Negativo di recente — titolo vicino ai minimi 52 settimane, -32.5% dal massimo</w:t>
            </w:r>
          </w:p>
        </w:tc>
      </w:tr>
      <w:tr w:rsidR="00EB0E83" w:rsidRPr="009975F8" w14:paraId="1B7B72DB" w14:textId="77777777">
        <w:trPr>
          <w:jc w:val="center"/>
        </w:trPr>
        <w:tc>
          <w:tcPr>
            <w:tcW w:w="4320" w:type="dxa"/>
          </w:tcPr>
          <w:p w14:paraId="52E4031B" w14:textId="77777777" w:rsidR="00EB0E83" w:rsidRDefault="00000000">
            <w:r>
              <w:rPr>
                <w:sz w:val="17"/>
              </w:rPr>
              <w:t>Low Beta</w:t>
            </w:r>
          </w:p>
        </w:tc>
        <w:tc>
          <w:tcPr>
            <w:tcW w:w="4320" w:type="dxa"/>
          </w:tcPr>
          <w:p w14:paraId="10580318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Presente sulla carta (0.434) ma da non fidarsi ciecamente — vedi nota WACC</w:t>
            </w:r>
          </w:p>
        </w:tc>
      </w:tr>
    </w:tbl>
    <w:p w14:paraId="69F20BCE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Tre fattori positivi su quattro (Value+Quality+nominalmente Low Beta) — il profilo più forte visto in questa sessione.</w:t>
      </w:r>
    </w:p>
    <w:p w14:paraId="05BBCC49" w14:textId="77777777" w:rsidR="00EB0E83" w:rsidRDefault="00000000">
      <w:pPr>
        <w:pStyle w:val="Heading1"/>
      </w:pPr>
      <w:r>
        <w:rPr>
          <w:color w:val="1F3864"/>
        </w:rPr>
        <w:t>9. Quality Compounder Screen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B0E83" w14:paraId="78633868" w14:textId="77777777">
        <w:trPr>
          <w:jc w:val="center"/>
        </w:trPr>
        <w:tc>
          <w:tcPr>
            <w:tcW w:w="2880" w:type="dxa"/>
            <w:shd w:val="clear" w:color="auto" w:fill="1F3864"/>
          </w:tcPr>
          <w:p w14:paraId="1098B5F5" w14:textId="77777777" w:rsidR="00EB0E83" w:rsidRDefault="00000000"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w="2880" w:type="dxa"/>
            <w:shd w:val="clear" w:color="auto" w:fill="1F3864"/>
          </w:tcPr>
          <w:p w14:paraId="4D893CA3" w14:textId="77777777" w:rsidR="00EB0E83" w:rsidRDefault="00000000">
            <w:r>
              <w:rPr>
                <w:b/>
                <w:color w:val="FFFFFF"/>
                <w:sz w:val="17"/>
              </w:rPr>
              <w:t>Evidenza</w:t>
            </w:r>
          </w:p>
        </w:tc>
        <w:tc>
          <w:tcPr>
            <w:tcW w:w="2880" w:type="dxa"/>
            <w:shd w:val="clear" w:color="auto" w:fill="1F3864"/>
          </w:tcPr>
          <w:p w14:paraId="24E821BE" w14:textId="77777777" w:rsidR="00EB0E83" w:rsidRDefault="00000000">
            <w:r>
              <w:rPr>
                <w:b/>
                <w:color w:val="FFFFFF"/>
                <w:sz w:val="17"/>
              </w:rPr>
              <w:t>Esito</w:t>
            </w:r>
          </w:p>
        </w:tc>
      </w:tr>
      <w:tr w:rsidR="00EB0E83" w14:paraId="54498485" w14:textId="77777777">
        <w:trPr>
          <w:jc w:val="center"/>
        </w:trPr>
        <w:tc>
          <w:tcPr>
            <w:tcW w:w="2880" w:type="dxa"/>
          </w:tcPr>
          <w:p w14:paraId="1177EB70" w14:textId="77777777" w:rsidR="00EB0E83" w:rsidRDefault="00000000">
            <w:r>
              <w:rPr>
                <w:sz w:val="17"/>
              </w:rPr>
              <w:t>ROIC 5y &gt;15%</w:t>
            </w:r>
          </w:p>
        </w:tc>
        <w:tc>
          <w:tcPr>
            <w:tcW w:w="2880" w:type="dxa"/>
          </w:tcPr>
          <w:p w14:paraId="408FF2B1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Media 4 anni 14.2%, ma ultimo anno 16.1% e in salita</w:t>
            </w:r>
          </w:p>
        </w:tc>
        <w:tc>
          <w:tcPr>
            <w:tcW w:w="2880" w:type="dxa"/>
          </w:tcPr>
          <w:p w14:paraId="6D5E4352" w14:textId="77777777" w:rsidR="00EB0E83" w:rsidRDefault="00000000">
            <w:r>
              <w:rPr>
                <w:sz w:val="17"/>
              </w:rPr>
              <w:t>PARTIAL/PASS</w:t>
            </w:r>
          </w:p>
        </w:tc>
      </w:tr>
      <w:tr w:rsidR="00EB0E83" w14:paraId="2B83900D" w14:textId="77777777">
        <w:trPr>
          <w:jc w:val="center"/>
        </w:trPr>
        <w:tc>
          <w:tcPr>
            <w:tcW w:w="2880" w:type="dxa"/>
          </w:tcPr>
          <w:p w14:paraId="236DB32B" w14:textId="77777777" w:rsidR="00EB0E83" w:rsidRDefault="00000000">
            <w:r>
              <w:rPr>
                <w:sz w:val="17"/>
              </w:rPr>
              <w:t>ROIC trend stabile/migliorativo</w:t>
            </w:r>
          </w:p>
        </w:tc>
        <w:tc>
          <w:tcPr>
            <w:tcW w:w="2880" w:type="dxa"/>
          </w:tcPr>
          <w:p w14:paraId="427F2BB9" w14:textId="77777777" w:rsidR="00EB0E83" w:rsidRDefault="00000000">
            <w:r>
              <w:rPr>
                <w:sz w:val="17"/>
              </w:rPr>
              <w:t>4 anni consecutivi in salita</w:t>
            </w:r>
          </w:p>
        </w:tc>
        <w:tc>
          <w:tcPr>
            <w:tcW w:w="2880" w:type="dxa"/>
          </w:tcPr>
          <w:p w14:paraId="23BD2D67" w14:textId="77777777" w:rsidR="00EB0E83" w:rsidRDefault="00000000">
            <w:r>
              <w:rPr>
                <w:sz w:val="17"/>
              </w:rPr>
              <w:t>PASS</w:t>
            </w:r>
          </w:p>
        </w:tc>
      </w:tr>
      <w:tr w:rsidR="00EB0E83" w14:paraId="6BA7E5EA" w14:textId="77777777">
        <w:trPr>
          <w:jc w:val="center"/>
        </w:trPr>
        <w:tc>
          <w:tcPr>
            <w:tcW w:w="2880" w:type="dxa"/>
          </w:tcPr>
          <w:p w14:paraId="713A0F12" w14:textId="77777777" w:rsidR="00EB0E83" w:rsidRDefault="00000000">
            <w:r>
              <w:rPr>
                <w:sz w:val="17"/>
              </w:rPr>
              <w:t>Operating margin &gt;15%</w:t>
            </w:r>
          </w:p>
        </w:tc>
        <w:tc>
          <w:tcPr>
            <w:tcW w:w="2880" w:type="dxa"/>
          </w:tcPr>
          <w:p w14:paraId="5B612943" w14:textId="77777777" w:rsidR="00EB0E83" w:rsidRDefault="00000000">
            <w:r>
              <w:rPr>
                <w:sz w:val="17"/>
              </w:rPr>
              <w:t>19.2% (FY2025), 17.8% (FY2024)</w:t>
            </w:r>
          </w:p>
        </w:tc>
        <w:tc>
          <w:tcPr>
            <w:tcW w:w="2880" w:type="dxa"/>
          </w:tcPr>
          <w:p w14:paraId="3978D59E" w14:textId="77777777" w:rsidR="00EB0E83" w:rsidRDefault="00000000">
            <w:r>
              <w:rPr>
                <w:sz w:val="17"/>
              </w:rPr>
              <w:t>PASS</w:t>
            </w:r>
          </w:p>
        </w:tc>
      </w:tr>
      <w:tr w:rsidR="00EB0E83" w14:paraId="11C5C8F4" w14:textId="77777777">
        <w:trPr>
          <w:jc w:val="center"/>
        </w:trPr>
        <w:tc>
          <w:tcPr>
            <w:tcW w:w="2880" w:type="dxa"/>
          </w:tcPr>
          <w:p w14:paraId="232C21D8" w14:textId="77777777" w:rsidR="00EB0E83" w:rsidRDefault="00000000">
            <w:r>
              <w:rPr>
                <w:sz w:val="17"/>
              </w:rPr>
              <w:t>FCF conversion &gt;80%</w:t>
            </w:r>
          </w:p>
        </w:tc>
        <w:tc>
          <w:tcPr>
            <w:tcW w:w="2880" w:type="dxa"/>
          </w:tcPr>
          <w:p w14:paraId="6F1B1B3B" w14:textId="77777777" w:rsidR="00EB0E83" w:rsidRDefault="00000000">
            <w:r>
              <w:rPr>
                <w:sz w:val="17"/>
              </w:rPr>
              <w:t>126-134%</w:t>
            </w:r>
          </w:p>
        </w:tc>
        <w:tc>
          <w:tcPr>
            <w:tcW w:w="2880" w:type="dxa"/>
          </w:tcPr>
          <w:p w14:paraId="7DF0965F" w14:textId="77777777" w:rsidR="00EB0E83" w:rsidRDefault="00000000">
            <w:r>
              <w:rPr>
                <w:sz w:val="17"/>
              </w:rPr>
              <w:t>PASS</w:t>
            </w:r>
          </w:p>
        </w:tc>
      </w:tr>
      <w:tr w:rsidR="00EB0E83" w14:paraId="79ED877C" w14:textId="77777777">
        <w:trPr>
          <w:jc w:val="center"/>
        </w:trPr>
        <w:tc>
          <w:tcPr>
            <w:tcW w:w="2880" w:type="dxa"/>
          </w:tcPr>
          <w:p w14:paraId="6BBAF7A7" w14:textId="77777777" w:rsidR="00EB0E83" w:rsidRDefault="00000000">
            <w:r>
              <w:rPr>
                <w:sz w:val="17"/>
              </w:rPr>
              <w:t>CapEx/Revenue &lt;10%</w:t>
            </w:r>
          </w:p>
        </w:tc>
        <w:tc>
          <w:tcPr>
            <w:tcW w:w="2880" w:type="dxa"/>
          </w:tcPr>
          <w:p w14:paraId="7EBBB8A7" w14:textId="77777777" w:rsidR="00EB0E83" w:rsidRDefault="00000000">
            <w:r>
              <w:rPr>
                <w:sz w:val="17"/>
              </w:rPr>
              <w:t>8.4-14.7%, ultimo anno 10.0% (borderline)</w:t>
            </w:r>
          </w:p>
        </w:tc>
        <w:tc>
          <w:tcPr>
            <w:tcW w:w="2880" w:type="dxa"/>
          </w:tcPr>
          <w:p w14:paraId="02A7C998" w14:textId="77777777" w:rsidR="00EB0E83" w:rsidRDefault="00000000">
            <w:r>
              <w:rPr>
                <w:sz w:val="17"/>
              </w:rPr>
              <w:t>PARTIAL</w:t>
            </w:r>
          </w:p>
        </w:tc>
      </w:tr>
      <w:tr w:rsidR="00EB0E83" w14:paraId="3A5C3DF0" w14:textId="77777777">
        <w:trPr>
          <w:jc w:val="center"/>
        </w:trPr>
        <w:tc>
          <w:tcPr>
            <w:tcW w:w="2880" w:type="dxa"/>
          </w:tcPr>
          <w:p w14:paraId="287393E4" w14:textId="77777777" w:rsidR="00EB0E83" w:rsidRDefault="00000000">
            <w:r>
              <w:rPr>
                <w:sz w:val="17"/>
              </w:rPr>
              <w:t>Crescita auto-finanziata</w:t>
            </w:r>
          </w:p>
        </w:tc>
        <w:tc>
          <w:tcPr>
            <w:tcW w:w="2880" w:type="dxa"/>
          </w:tcPr>
          <w:p w14:paraId="74FD5530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Sostanzialmente sì, +3.64% dilution isolata (HK raise)</w:t>
            </w:r>
          </w:p>
        </w:tc>
        <w:tc>
          <w:tcPr>
            <w:tcW w:w="2880" w:type="dxa"/>
          </w:tcPr>
          <w:p w14:paraId="35B9F797" w14:textId="77777777" w:rsidR="00EB0E83" w:rsidRDefault="00000000">
            <w:r>
              <w:rPr>
                <w:sz w:val="17"/>
              </w:rPr>
              <w:t>PARTIAL/PASS</w:t>
            </w:r>
          </w:p>
        </w:tc>
      </w:tr>
      <w:tr w:rsidR="00EB0E83" w14:paraId="77962D7A" w14:textId="77777777">
        <w:trPr>
          <w:jc w:val="center"/>
        </w:trPr>
        <w:tc>
          <w:tcPr>
            <w:tcW w:w="2880" w:type="dxa"/>
          </w:tcPr>
          <w:p w14:paraId="7FC0F11B" w14:textId="77777777" w:rsidR="00EB0E83" w:rsidRDefault="00000000">
            <w:r>
              <w:rPr>
                <w:sz w:val="17"/>
              </w:rPr>
              <w:t>Management ownership</w:t>
            </w:r>
          </w:p>
        </w:tc>
        <w:tc>
          <w:tcPr>
            <w:tcW w:w="2880" w:type="dxa"/>
          </w:tcPr>
          <w:p w14:paraId="27EE9F9B" w14:textId="77777777" w:rsidR="00EB0E83" w:rsidRDefault="00000000">
            <w:r>
              <w:rPr>
                <w:sz w:val="17"/>
              </w:rPr>
              <w:t>Dati insufficienti</w:t>
            </w:r>
          </w:p>
        </w:tc>
        <w:tc>
          <w:tcPr>
            <w:tcW w:w="2880" w:type="dxa"/>
          </w:tcPr>
          <w:p w14:paraId="086DCE76" w14:textId="77777777" w:rsidR="00EB0E83" w:rsidRDefault="00000000">
            <w:r>
              <w:rPr>
                <w:sz w:val="17"/>
              </w:rPr>
              <w:t>UNCERTAIN</w:t>
            </w:r>
          </w:p>
        </w:tc>
      </w:tr>
      <w:tr w:rsidR="00EB0E83" w14:paraId="56D023ED" w14:textId="77777777">
        <w:trPr>
          <w:jc w:val="center"/>
        </w:trPr>
        <w:tc>
          <w:tcPr>
            <w:tcW w:w="2880" w:type="dxa"/>
          </w:tcPr>
          <w:p w14:paraId="575B8C64" w14:textId="77777777" w:rsidR="00EB0E83" w:rsidRDefault="00000000">
            <w:r>
              <w:rPr>
                <w:sz w:val="17"/>
              </w:rPr>
              <w:t>Buyback/dividendi</w:t>
            </w:r>
          </w:p>
        </w:tc>
        <w:tc>
          <w:tcPr>
            <w:tcW w:w="2880" w:type="dxa"/>
          </w:tcPr>
          <w:p w14:paraId="6E25C7E5" w14:textId="77777777" w:rsidR="00EB0E83" w:rsidRDefault="00000000">
            <w:r>
              <w:rPr>
                <w:sz w:val="17"/>
              </w:rPr>
              <w:t>Piano dividendi $2.8B annunciato</w:t>
            </w:r>
          </w:p>
        </w:tc>
        <w:tc>
          <w:tcPr>
            <w:tcW w:w="2880" w:type="dxa"/>
          </w:tcPr>
          <w:p w14:paraId="3A7287CA" w14:textId="77777777" w:rsidR="00EB0E83" w:rsidRDefault="00000000">
            <w:r>
              <w:rPr>
                <w:sz w:val="17"/>
              </w:rPr>
              <w:t>PASS</w:t>
            </w:r>
          </w:p>
        </w:tc>
      </w:tr>
      <w:tr w:rsidR="00EB0E83" w14:paraId="501D0B3D" w14:textId="77777777">
        <w:trPr>
          <w:jc w:val="center"/>
        </w:trPr>
        <w:tc>
          <w:tcPr>
            <w:tcW w:w="2880" w:type="dxa"/>
          </w:tcPr>
          <w:p w14:paraId="09FF293F" w14:textId="77777777" w:rsidR="00EB0E83" w:rsidRDefault="00000000">
            <w:r>
              <w:rPr>
                <w:sz w:val="17"/>
              </w:rPr>
              <w:t>M&amp;A discipline</w:t>
            </w:r>
          </w:p>
        </w:tc>
        <w:tc>
          <w:tcPr>
            <w:tcW w:w="2880" w:type="dxa"/>
          </w:tcPr>
          <w:p w14:paraId="1CDE09D1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Nessuna M&amp;A rilevante recente</w:t>
            </w:r>
          </w:p>
        </w:tc>
        <w:tc>
          <w:tcPr>
            <w:tcW w:w="2880" w:type="dxa"/>
          </w:tcPr>
          <w:p w14:paraId="0D2B45AF" w14:textId="77777777" w:rsidR="00EB0E83" w:rsidRDefault="00000000">
            <w:r>
              <w:rPr>
                <w:sz w:val="17"/>
              </w:rPr>
              <w:t>N/A</w:t>
            </w:r>
          </w:p>
        </w:tc>
      </w:tr>
    </w:tbl>
    <w:p w14:paraId="0544F3A3" w14:textId="77777777" w:rsidR="00EB0E83" w:rsidRDefault="00EB0E83"/>
    <w:p w14:paraId="41436AD6" w14:textId="77777777" w:rsidR="00EB0E83" w:rsidRDefault="00000000">
      <w:r>
        <w:rPr>
          <w:b/>
          <w:color w:val="2E7D32"/>
          <w:sz w:val="26"/>
        </w:rPr>
        <w:t>Verdetto: QUALITY, vicino a COMPOUNDER</w:t>
      </w:r>
    </w:p>
    <w:p w14:paraId="52667D8A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5-6 criteri chiari su 9 (soglia 7+ non ancora raggiunta), ma il trend ROIC in salita costante per 4 anni è raro tra tutti i nomi analizzati oggi.</w:t>
      </w:r>
    </w:p>
    <w:p w14:paraId="40EB0341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12E8B294" w14:textId="77777777" w:rsidR="00EB0E83" w:rsidRDefault="00000000">
      <w:pPr>
        <w:pStyle w:val="Heading1"/>
      </w:pPr>
      <w:r>
        <w:rPr>
          <w:color w:val="1F3864"/>
        </w:rPr>
        <w:lastRenderedPageBreak/>
        <w:t>10. Sector Appendix (riferimento parziale — Renewables &amp; Clean Energy)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B0E83" w14:paraId="0389ACB3" w14:textId="77777777">
        <w:trPr>
          <w:jc w:val="center"/>
        </w:trPr>
        <w:tc>
          <w:tcPr>
            <w:tcW w:w="2880" w:type="dxa"/>
            <w:shd w:val="clear" w:color="auto" w:fill="1F3864"/>
          </w:tcPr>
          <w:p w14:paraId="041782B4" w14:textId="77777777" w:rsidR="00EB0E83" w:rsidRDefault="00000000">
            <w:r>
              <w:rPr>
                <w:b/>
                <w:color w:val="FFFFFF"/>
                <w:sz w:val="17"/>
              </w:rPr>
              <w:t>Metrica</w:t>
            </w:r>
          </w:p>
        </w:tc>
        <w:tc>
          <w:tcPr>
            <w:tcW w:w="2880" w:type="dxa"/>
            <w:shd w:val="clear" w:color="auto" w:fill="1F3864"/>
          </w:tcPr>
          <w:p w14:paraId="14FDE9F1" w14:textId="77777777" w:rsidR="00EB0E83" w:rsidRDefault="00000000">
            <w:r>
              <w:rPr>
                <w:b/>
                <w:color w:val="FFFFFF"/>
                <w:sz w:val="17"/>
              </w:rPr>
              <w:t>Valore</w:t>
            </w:r>
          </w:p>
        </w:tc>
        <w:tc>
          <w:tcPr>
            <w:tcW w:w="2880" w:type="dxa"/>
            <w:shd w:val="clear" w:color="auto" w:fill="1F3864"/>
          </w:tcPr>
          <w:p w14:paraId="6C047F04" w14:textId="77777777" w:rsidR="00EB0E83" w:rsidRDefault="00000000">
            <w:r>
              <w:rPr>
                <w:b/>
                <w:color w:val="FFFFFF"/>
                <w:sz w:val="17"/>
              </w:rPr>
              <w:t>Lettura</w:t>
            </w:r>
          </w:p>
        </w:tc>
      </w:tr>
      <w:tr w:rsidR="00EB0E83" w:rsidRPr="009975F8" w14:paraId="13DBBA43" w14:textId="77777777">
        <w:trPr>
          <w:jc w:val="center"/>
        </w:trPr>
        <w:tc>
          <w:tcPr>
            <w:tcW w:w="2880" w:type="dxa"/>
          </w:tcPr>
          <w:p w14:paraId="53B30640" w14:textId="77777777" w:rsidR="00EB0E83" w:rsidRDefault="00000000">
            <w:r>
              <w:rPr>
                <w:sz w:val="17"/>
              </w:rPr>
              <w:t>Quota di mercato</w:t>
            </w:r>
          </w:p>
        </w:tc>
        <w:tc>
          <w:tcPr>
            <w:tcW w:w="2880" w:type="dxa"/>
          </w:tcPr>
          <w:p w14:paraId="16039A12" w14:textId="77777777" w:rsidR="00EB0E83" w:rsidRDefault="00000000">
            <w:r>
              <w:rPr>
                <w:sz w:val="17"/>
              </w:rPr>
              <w:t>40.2%, in crescita</w:t>
            </w:r>
          </w:p>
        </w:tc>
        <w:tc>
          <w:tcPr>
            <w:tcW w:w="2880" w:type="dxa"/>
          </w:tcPr>
          <w:p w14:paraId="233A6FB2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Segnale di forza — leadership che si consolida</w:t>
            </w:r>
          </w:p>
        </w:tc>
      </w:tr>
      <w:tr w:rsidR="00EB0E83" w14:paraId="07F4F726" w14:textId="77777777">
        <w:trPr>
          <w:jc w:val="center"/>
        </w:trPr>
        <w:tc>
          <w:tcPr>
            <w:tcW w:w="2880" w:type="dxa"/>
          </w:tcPr>
          <w:p w14:paraId="6F855176" w14:textId="77777777" w:rsidR="00EB0E83" w:rsidRDefault="00000000">
            <w:r>
              <w:rPr>
                <w:sz w:val="17"/>
              </w:rPr>
              <w:t>Margine lordo trend</w:t>
            </w:r>
          </w:p>
        </w:tc>
        <w:tc>
          <w:tcPr>
            <w:tcW w:w="2880" w:type="dxa"/>
          </w:tcPr>
          <w:p w14:paraId="689313C0" w14:textId="77777777" w:rsidR="00EB0E83" w:rsidRDefault="00000000">
            <w:r>
              <w:rPr>
                <w:sz w:val="17"/>
              </w:rPr>
              <w:t>20.3% -&gt; 26.3% in 4 anni</w:t>
            </w:r>
          </w:p>
        </w:tc>
        <w:tc>
          <w:tcPr>
            <w:tcW w:w="2880" w:type="dxa"/>
          </w:tcPr>
          <w:p w14:paraId="6D699E90" w14:textId="77777777" w:rsidR="00EB0E83" w:rsidRDefault="00000000">
            <w:r>
              <w:rPr>
                <w:sz w:val="17"/>
              </w:rPr>
              <w:t>Espansione strutturale</w:t>
            </w:r>
          </w:p>
        </w:tc>
      </w:tr>
      <w:tr w:rsidR="00EB0E83" w14:paraId="785A14DB" w14:textId="77777777">
        <w:trPr>
          <w:jc w:val="center"/>
        </w:trPr>
        <w:tc>
          <w:tcPr>
            <w:tcW w:w="2880" w:type="dxa"/>
          </w:tcPr>
          <w:p w14:paraId="5BBA1171" w14:textId="77777777" w:rsidR="00EB0E83" w:rsidRDefault="00000000">
            <w:r>
              <w:rPr>
                <w:sz w:val="17"/>
              </w:rPr>
              <w:t>Cassa netta</w:t>
            </w:r>
          </w:p>
        </w:tc>
        <w:tc>
          <w:tcPr>
            <w:tcW w:w="2880" w:type="dxa"/>
          </w:tcPr>
          <w:p w14:paraId="0C3C1570" w14:textId="77777777" w:rsidR="00EB0E83" w:rsidRDefault="00000000">
            <w:r>
              <w:rPr>
                <w:sz w:val="17"/>
              </w:rPr>
              <w:t>¥291.2 miliardi, in crescita rapida</w:t>
            </w:r>
          </w:p>
        </w:tc>
        <w:tc>
          <w:tcPr>
            <w:tcW w:w="2880" w:type="dxa"/>
          </w:tcPr>
          <w:p w14:paraId="780F270D" w14:textId="77777777" w:rsidR="00EB0E83" w:rsidRDefault="00000000">
            <w:r>
              <w:rPr>
                <w:sz w:val="17"/>
              </w:rPr>
              <w:t>Bilancio fortissimo</w:t>
            </w:r>
          </w:p>
        </w:tc>
      </w:tr>
    </w:tbl>
    <w:p w14:paraId="32DF0E6B" w14:textId="77777777" w:rsidR="00EB0E83" w:rsidRDefault="00000000">
      <w:r>
        <w:br w:type="page"/>
      </w:r>
    </w:p>
    <w:p w14:paraId="3238F843" w14:textId="77777777" w:rsidR="00EB0E83" w:rsidRDefault="00000000">
      <w:pPr>
        <w:pStyle w:val="Heading1"/>
      </w:pPr>
      <w:r>
        <w:rPr>
          <w:color w:val="1F3864"/>
        </w:rPr>
        <w:lastRenderedPageBreak/>
        <w:t>11. Five-Year Ratio Trend Analysis</w:t>
      </w:r>
    </w:p>
    <w:p w14:paraId="4E98F090" w14:textId="77777777" w:rsidR="00EB0E83" w:rsidRDefault="00000000">
      <w:pPr>
        <w:pStyle w:val="Heading2"/>
      </w:pPr>
      <w:r>
        <w:rPr>
          <w:color w:val="2E5395"/>
        </w:rPr>
        <w:t>Base Ratio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B0E83" w14:paraId="4BFEB0CC" w14:textId="77777777">
        <w:trPr>
          <w:jc w:val="center"/>
        </w:trPr>
        <w:tc>
          <w:tcPr>
            <w:tcW w:w="1728" w:type="dxa"/>
            <w:shd w:val="clear" w:color="auto" w:fill="1F3864"/>
          </w:tcPr>
          <w:p w14:paraId="5C51B66D" w14:textId="77777777" w:rsidR="00EB0E83" w:rsidRDefault="00000000">
            <w:r>
              <w:rPr>
                <w:b/>
                <w:color w:val="FFFFFF"/>
                <w:sz w:val="17"/>
              </w:rPr>
              <w:t>Metrica</w:t>
            </w:r>
          </w:p>
        </w:tc>
        <w:tc>
          <w:tcPr>
            <w:tcW w:w="1728" w:type="dxa"/>
            <w:shd w:val="clear" w:color="auto" w:fill="1F3864"/>
          </w:tcPr>
          <w:p w14:paraId="45D065F0" w14:textId="77777777" w:rsidR="00EB0E83" w:rsidRDefault="00000000">
            <w:r>
              <w:rPr>
                <w:b/>
                <w:color w:val="FFFFFF"/>
                <w:sz w:val="17"/>
              </w:rPr>
              <w:t>FY2022</w:t>
            </w:r>
          </w:p>
        </w:tc>
        <w:tc>
          <w:tcPr>
            <w:tcW w:w="1728" w:type="dxa"/>
            <w:shd w:val="clear" w:color="auto" w:fill="1F3864"/>
          </w:tcPr>
          <w:p w14:paraId="66E38911" w14:textId="77777777" w:rsidR="00EB0E83" w:rsidRDefault="00000000">
            <w:r>
              <w:rPr>
                <w:b/>
                <w:color w:val="FFFFFF"/>
                <w:sz w:val="17"/>
              </w:rPr>
              <w:t>FY2023</w:t>
            </w:r>
          </w:p>
        </w:tc>
        <w:tc>
          <w:tcPr>
            <w:tcW w:w="1728" w:type="dxa"/>
            <w:shd w:val="clear" w:color="auto" w:fill="1F3864"/>
          </w:tcPr>
          <w:p w14:paraId="420E4C0F" w14:textId="77777777" w:rsidR="00EB0E83" w:rsidRDefault="00000000"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w="1728" w:type="dxa"/>
            <w:shd w:val="clear" w:color="auto" w:fill="1F3864"/>
          </w:tcPr>
          <w:p w14:paraId="3988B118" w14:textId="77777777" w:rsidR="00EB0E83" w:rsidRDefault="00000000">
            <w:r>
              <w:rPr>
                <w:b/>
                <w:color w:val="FFFFFF"/>
                <w:sz w:val="17"/>
              </w:rPr>
              <w:t>FY2025</w:t>
            </w:r>
          </w:p>
        </w:tc>
      </w:tr>
      <w:tr w:rsidR="00EB0E83" w14:paraId="43F178AC" w14:textId="77777777">
        <w:trPr>
          <w:jc w:val="center"/>
        </w:trPr>
        <w:tc>
          <w:tcPr>
            <w:tcW w:w="1728" w:type="dxa"/>
          </w:tcPr>
          <w:p w14:paraId="04D15C1A" w14:textId="77777777" w:rsidR="00EB0E83" w:rsidRDefault="00000000">
            <w:r>
              <w:rPr>
                <w:sz w:val="17"/>
              </w:rPr>
              <w:t>Ricavi (¥B)</w:t>
            </w:r>
          </w:p>
        </w:tc>
        <w:tc>
          <w:tcPr>
            <w:tcW w:w="1728" w:type="dxa"/>
          </w:tcPr>
          <w:p w14:paraId="6EC70AB0" w14:textId="77777777" w:rsidR="00EB0E83" w:rsidRDefault="00000000">
            <w:r>
              <w:rPr>
                <w:sz w:val="17"/>
              </w:rPr>
              <w:t>328.6</w:t>
            </w:r>
          </w:p>
        </w:tc>
        <w:tc>
          <w:tcPr>
            <w:tcW w:w="1728" w:type="dxa"/>
          </w:tcPr>
          <w:p w14:paraId="64F1F972" w14:textId="77777777" w:rsidR="00EB0E83" w:rsidRDefault="00000000">
            <w:r>
              <w:rPr>
                <w:sz w:val="17"/>
              </w:rPr>
              <w:t>400.9</w:t>
            </w:r>
          </w:p>
        </w:tc>
        <w:tc>
          <w:tcPr>
            <w:tcW w:w="1728" w:type="dxa"/>
          </w:tcPr>
          <w:p w14:paraId="31FB7FD4" w14:textId="77777777" w:rsidR="00EB0E83" w:rsidRDefault="00000000">
            <w:r>
              <w:rPr>
                <w:sz w:val="17"/>
              </w:rPr>
              <w:t>362.0</w:t>
            </w:r>
          </w:p>
        </w:tc>
        <w:tc>
          <w:tcPr>
            <w:tcW w:w="1728" w:type="dxa"/>
          </w:tcPr>
          <w:p w14:paraId="1863B3B2" w14:textId="77777777" w:rsidR="00EB0E83" w:rsidRDefault="00000000">
            <w:r>
              <w:rPr>
                <w:sz w:val="17"/>
              </w:rPr>
              <w:t>423.7</w:t>
            </w:r>
          </w:p>
        </w:tc>
      </w:tr>
      <w:tr w:rsidR="00EB0E83" w14:paraId="38E1DEC7" w14:textId="77777777">
        <w:trPr>
          <w:jc w:val="center"/>
        </w:trPr>
        <w:tc>
          <w:tcPr>
            <w:tcW w:w="1728" w:type="dxa"/>
          </w:tcPr>
          <w:p w14:paraId="21AF437D" w14:textId="77777777" w:rsidR="00EB0E83" w:rsidRDefault="00000000">
            <w:r>
              <w:rPr>
                <w:sz w:val="17"/>
              </w:rPr>
              <w:t>Crescita YoY</w:t>
            </w:r>
          </w:p>
        </w:tc>
        <w:tc>
          <w:tcPr>
            <w:tcW w:w="1728" w:type="dxa"/>
          </w:tcPr>
          <w:p w14:paraId="5BBCE68E" w14:textId="77777777" w:rsidR="00EB0E83" w:rsidRDefault="00000000"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78E5AEBF" w14:textId="77777777" w:rsidR="00EB0E83" w:rsidRDefault="00000000">
            <w:r>
              <w:rPr>
                <w:sz w:val="17"/>
              </w:rPr>
              <w:t>+22.0%</w:t>
            </w:r>
          </w:p>
        </w:tc>
        <w:tc>
          <w:tcPr>
            <w:tcW w:w="1728" w:type="dxa"/>
          </w:tcPr>
          <w:p w14:paraId="1E6DDB70" w14:textId="77777777" w:rsidR="00EB0E83" w:rsidRDefault="00000000">
            <w:r>
              <w:rPr>
                <w:sz w:val="17"/>
              </w:rPr>
              <w:t>-9.7%</w:t>
            </w:r>
          </w:p>
        </w:tc>
        <w:tc>
          <w:tcPr>
            <w:tcW w:w="1728" w:type="dxa"/>
          </w:tcPr>
          <w:p w14:paraId="77880983" w14:textId="77777777" w:rsidR="00EB0E83" w:rsidRDefault="00000000">
            <w:r>
              <w:rPr>
                <w:sz w:val="17"/>
              </w:rPr>
              <w:t>+17.0%</w:t>
            </w:r>
          </w:p>
        </w:tc>
      </w:tr>
      <w:tr w:rsidR="00EB0E83" w14:paraId="7F32319D" w14:textId="77777777">
        <w:trPr>
          <w:jc w:val="center"/>
        </w:trPr>
        <w:tc>
          <w:tcPr>
            <w:tcW w:w="1728" w:type="dxa"/>
          </w:tcPr>
          <w:p w14:paraId="4C2C3941" w14:textId="77777777" w:rsidR="00EB0E83" w:rsidRDefault="00000000">
            <w:r>
              <w:rPr>
                <w:sz w:val="17"/>
              </w:rPr>
              <w:t>Margine lordo</w:t>
            </w:r>
          </w:p>
        </w:tc>
        <w:tc>
          <w:tcPr>
            <w:tcW w:w="1728" w:type="dxa"/>
          </w:tcPr>
          <w:p w14:paraId="579D5EF5" w14:textId="77777777" w:rsidR="00EB0E83" w:rsidRDefault="00000000">
            <w:r>
              <w:rPr>
                <w:sz w:val="17"/>
              </w:rPr>
              <w:t>20.3%</w:t>
            </w:r>
          </w:p>
        </w:tc>
        <w:tc>
          <w:tcPr>
            <w:tcW w:w="1728" w:type="dxa"/>
          </w:tcPr>
          <w:p w14:paraId="4B50CFDE" w14:textId="77777777" w:rsidR="00EB0E83" w:rsidRDefault="00000000">
            <w:r>
              <w:rPr>
                <w:sz w:val="17"/>
              </w:rPr>
              <w:t>19.2%</w:t>
            </w:r>
          </w:p>
        </w:tc>
        <w:tc>
          <w:tcPr>
            <w:tcW w:w="1728" w:type="dxa"/>
          </w:tcPr>
          <w:p w14:paraId="764362F1" w14:textId="77777777" w:rsidR="00EB0E83" w:rsidRDefault="00000000">
            <w:r>
              <w:rPr>
                <w:sz w:val="17"/>
              </w:rPr>
              <w:t>24.4%</w:t>
            </w:r>
          </w:p>
        </w:tc>
        <w:tc>
          <w:tcPr>
            <w:tcW w:w="1728" w:type="dxa"/>
          </w:tcPr>
          <w:p w14:paraId="1237BBF4" w14:textId="77777777" w:rsidR="00EB0E83" w:rsidRDefault="00000000">
            <w:r>
              <w:rPr>
                <w:sz w:val="17"/>
              </w:rPr>
              <w:t>26.3%</w:t>
            </w:r>
          </w:p>
        </w:tc>
      </w:tr>
      <w:tr w:rsidR="00EB0E83" w14:paraId="3A396316" w14:textId="77777777">
        <w:trPr>
          <w:jc w:val="center"/>
        </w:trPr>
        <w:tc>
          <w:tcPr>
            <w:tcW w:w="1728" w:type="dxa"/>
          </w:tcPr>
          <w:p w14:paraId="43A65A28" w14:textId="77777777" w:rsidR="00EB0E83" w:rsidRDefault="00000000">
            <w:r>
              <w:rPr>
                <w:sz w:val="17"/>
              </w:rPr>
              <w:t>Margine EBIT</w:t>
            </w:r>
          </w:p>
        </w:tc>
        <w:tc>
          <w:tcPr>
            <w:tcW w:w="1728" w:type="dxa"/>
          </w:tcPr>
          <w:p w14:paraId="5FDD8F9D" w14:textId="77777777" w:rsidR="00EB0E83" w:rsidRDefault="00000000">
            <w:r>
              <w:rPr>
                <w:sz w:val="17"/>
              </w:rPr>
              <w:t>10.7%</w:t>
            </w:r>
          </w:p>
        </w:tc>
        <w:tc>
          <w:tcPr>
            <w:tcW w:w="1728" w:type="dxa"/>
          </w:tcPr>
          <w:p w14:paraId="51DB6721" w14:textId="77777777" w:rsidR="00EB0E83" w:rsidRDefault="00000000">
            <w:r>
              <w:rPr>
                <w:sz w:val="17"/>
              </w:rPr>
              <w:t>12.9%</w:t>
            </w:r>
          </w:p>
        </w:tc>
        <w:tc>
          <w:tcPr>
            <w:tcW w:w="1728" w:type="dxa"/>
          </w:tcPr>
          <w:p w14:paraId="691048CF" w14:textId="77777777" w:rsidR="00EB0E83" w:rsidRDefault="00000000">
            <w:r>
              <w:rPr>
                <w:sz w:val="17"/>
              </w:rPr>
              <w:t>17.8%</w:t>
            </w:r>
          </w:p>
        </w:tc>
        <w:tc>
          <w:tcPr>
            <w:tcW w:w="1728" w:type="dxa"/>
          </w:tcPr>
          <w:p w14:paraId="30C615A7" w14:textId="77777777" w:rsidR="00EB0E83" w:rsidRDefault="00000000">
            <w:r>
              <w:rPr>
                <w:sz w:val="17"/>
              </w:rPr>
              <w:t>19.2%</w:t>
            </w:r>
          </w:p>
        </w:tc>
      </w:tr>
      <w:tr w:rsidR="00EB0E83" w14:paraId="424B9AB2" w14:textId="77777777">
        <w:trPr>
          <w:jc w:val="center"/>
        </w:trPr>
        <w:tc>
          <w:tcPr>
            <w:tcW w:w="1728" w:type="dxa"/>
          </w:tcPr>
          <w:p w14:paraId="469B1E68" w14:textId="77777777" w:rsidR="00EB0E83" w:rsidRDefault="00000000">
            <w:r>
              <w:rPr>
                <w:sz w:val="17"/>
              </w:rPr>
              <w:t>Margine netto</w:t>
            </w:r>
          </w:p>
        </w:tc>
        <w:tc>
          <w:tcPr>
            <w:tcW w:w="1728" w:type="dxa"/>
          </w:tcPr>
          <w:p w14:paraId="47EA4656" w14:textId="77777777" w:rsidR="00EB0E83" w:rsidRDefault="00000000">
            <w:r>
              <w:rPr>
                <w:sz w:val="17"/>
              </w:rPr>
              <w:t>9.4%</w:t>
            </w:r>
          </w:p>
        </w:tc>
        <w:tc>
          <w:tcPr>
            <w:tcW w:w="1728" w:type="dxa"/>
          </w:tcPr>
          <w:p w14:paraId="019920D2" w14:textId="77777777" w:rsidR="00EB0E83" w:rsidRDefault="00000000">
            <w:r>
              <w:rPr>
                <w:sz w:val="17"/>
              </w:rPr>
              <w:t>11.0%</w:t>
            </w:r>
          </w:p>
        </w:tc>
        <w:tc>
          <w:tcPr>
            <w:tcW w:w="1728" w:type="dxa"/>
          </w:tcPr>
          <w:p w14:paraId="6A8CC804" w14:textId="77777777" w:rsidR="00EB0E83" w:rsidRDefault="00000000">
            <w:r>
              <w:rPr>
                <w:sz w:val="17"/>
              </w:rPr>
              <w:t>14.0%</w:t>
            </w:r>
          </w:p>
        </w:tc>
        <w:tc>
          <w:tcPr>
            <w:tcW w:w="1728" w:type="dxa"/>
          </w:tcPr>
          <w:p w14:paraId="35E23658" w14:textId="77777777" w:rsidR="00EB0E83" w:rsidRDefault="00000000">
            <w:r>
              <w:rPr>
                <w:sz w:val="17"/>
              </w:rPr>
              <w:t>17.0%</w:t>
            </w:r>
          </w:p>
        </w:tc>
      </w:tr>
      <w:tr w:rsidR="00EB0E83" w14:paraId="1CEA4082" w14:textId="77777777">
        <w:trPr>
          <w:jc w:val="center"/>
        </w:trPr>
        <w:tc>
          <w:tcPr>
            <w:tcW w:w="1728" w:type="dxa"/>
          </w:tcPr>
          <w:p w14:paraId="697A7880" w14:textId="77777777" w:rsidR="00EB0E83" w:rsidRDefault="00000000">
            <w:r>
              <w:rPr>
                <w:sz w:val="17"/>
              </w:rPr>
              <w:t>ROE</w:t>
            </w:r>
          </w:p>
        </w:tc>
        <w:tc>
          <w:tcPr>
            <w:tcW w:w="1728" w:type="dxa"/>
          </w:tcPr>
          <w:p w14:paraId="1A6DBE8A" w14:textId="77777777" w:rsidR="00EB0E83" w:rsidRDefault="00000000">
            <w:r>
              <w:rPr>
                <w:sz w:val="17"/>
              </w:rPr>
              <w:t>18.7%</w:t>
            </w:r>
          </w:p>
        </w:tc>
        <w:tc>
          <w:tcPr>
            <w:tcW w:w="1728" w:type="dxa"/>
          </w:tcPr>
          <w:p w14:paraId="7F336728" w14:textId="77777777" w:rsidR="00EB0E83" w:rsidRDefault="00000000">
            <w:r>
              <w:rPr>
                <w:sz w:val="17"/>
              </w:rPr>
              <w:t>22.3%</w:t>
            </w:r>
          </w:p>
        </w:tc>
        <w:tc>
          <w:tcPr>
            <w:tcW w:w="1728" w:type="dxa"/>
          </w:tcPr>
          <w:p w14:paraId="72095E1E" w14:textId="77777777" w:rsidR="00EB0E83" w:rsidRDefault="00000000">
            <w:r>
              <w:rPr>
                <w:sz w:val="17"/>
              </w:rPr>
              <w:t>20.6%</w:t>
            </w:r>
          </w:p>
        </w:tc>
        <w:tc>
          <w:tcPr>
            <w:tcW w:w="1728" w:type="dxa"/>
          </w:tcPr>
          <w:p w14:paraId="6C6C9703" w14:textId="77777777" w:rsidR="00EB0E83" w:rsidRDefault="00000000">
            <w:r>
              <w:rPr>
                <w:sz w:val="17"/>
              </w:rPr>
              <w:t>21.4%</w:t>
            </w:r>
          </w:p>
        </w:tc>
      </w:tr>
      <w:tr w:rsidR="00EB0E83" w14:paraId="20C4C40F" w14:textId="77777777">
        <w:trPr>
          <w:jc w:val="center"/>
        </w:trPr>
        <w:tc>
          <w:tcPr>
            <w:tcW w:w="1728" w:type="dxa"/>
          </w:tcPr>
          <w:p w14:paraId="61B97CC9" w14:textId="77777777" w:rsidR="00EB0E83" w:rsidRDefault="00000000">
            <w:r>
              <w:rPr>
                <w:sz w:val="17"/>
              </w:rPr>
              <w:t>ROIC</w:t>
            </w:r>
          </w:p>
        </w:tc>
        <w:tc>
          <w:tcPr>
            <w:tcW w:w="1728" w:type="dxa"/>
          </w:tcPr>
          <w:p w14:paraId="23F528C0" w14:textId="77777777" w:rsidR="00EB0E83" w:rsidRDefault="00000000">
            <w:r>
              <w:rPr>
                <w:sz w:val="17"/>
              </w:rPr>
              <w:t>11.6%</w:t>
            </w:r>
          </w:p>
        </w:tc>
        <w:tc>
          <w:tcPr>
            <w:tcW w:w="1728" w:type="dxa"/>
          </w:tcPr>
          <w:p w14:paraId="0F291FA6" w14:textId="77777777" w:rsidR="00EB0E83" w:rsidRDefault="00000000">
            <w:r>
              <w:rPr>
                <w:sz w:val="17"/>
              </w:rPr>
              <w:t>13.9%</w:t>
            </w:r>
          </w:p>
        </w:tc>
        <w:tc>
          <w:tcPr>
            <w:tcW w:w="1728" w:type="dxa"/>
          </w:tcPr>
          <w:p w14:paraId="37AFEB3D" w14:textId="77777777" w:rsidR="00EB0E83" w:rsidRDefault="00000000">
            <w:r>
              <w:rPr>
                <w:sz w:val="17"/>
              </w:rPr>
              <w:t>15.2%</w:t>
            </w:r>
          </w:p>
        </w:tc>
        <w:tc>
          <w:tcPr>
            <w:tcW w:w="1728" w:type="dxa"/>
          </w:tcPr>
          <w:p w14:paraId="72E04505" w14:textId="77777777" w:rsidR="00EB0E83" w:rsidRDefault="00000000">
            <w:r>
              <w:rPr>
                <w:sz w:val="17"/>
              </w:rPr>
              <w:t>16.1%</w:t>
            </w:r>
          </w:p>
        </w:tc>
      </w:tr>
      <w:tr w:rsidR="00EB0E83" w14:paraId="2F72A704" w14:textId="77777777">
        <w:trPr>
          <w:jc w:val="center"/>
        </w:trPr>
        <w:tc>
          <w:tcPr>
            <w:tcW w:w="1728" w:type="dxa"/>
          </w:tcPr>
          <w:p w14:paraId="37A234DD" w14:textId="77777777" w:rsidR="00EB0E83" w:rsidRDefault="00000000">
            <w:r>
              <w:rPr>
                <w:sz w:val="17"/>
              </w:rPr>
              <w:t>P/E</w:t>
            </w:r>
          </w:p>
        </w:tc>
        <w:tc>
          <w:tcPr>
            <w:tcW w:w="1728" w:type="dxa"/>
          </w:tcPr>
          <w:p w14:paraId="64D2CBB7" w14:textId="77777777" w:rsidR="00EB0E83" w:rsidRDefault="00000000">
            <w:r>
              <w:rPr>
                <w:sz w:val="17"/>
              </w:rPr>
              <w:t>28.8x</w:t>
            </w:r>
          </w:p>
        </w:tc>
        <w:tc>
          <w:tcPr>
            <w:tcW w:w="1728" w:type="dxa"/>
          </w:tcPr>
          <w:p w14:paraId="05DE05A0" w14:textId="77777777" w:rsidR="00EB0E83" w:rsidRDefault="00000000">
            <w:r>
              <w:rPr>
                <w:sz w:val="17"/>
              </w:rPr>
              <w:t>15.1x</w:t>
            </w:r>
          </w:p>
        </w:tc>
        <w:tc>
          <w:tcPr>
            <w:tcW w:w="1728" w:type="dxa"/>
          </w:tcPr>
          <w:p w14:paraId="318A6BF2" w14:textId="77777777" w:rsidR="00EB0E83" w:rsidRDefault="00000000">
            <w:r>
              <w:rPr>
                <w:sz w:val="17"/>
              </w:rPr>
              <w:t>22.0x</w:t>
            </w:r>
          </w:p>
        </w:tc>
        <w:tc>
          <w:tcPr>
            <w:tcW w:w="1728" w:type="dxa"/>
          </w:tcPr>
          <w:p w14:paraId="265BEBD2" w14:textId="77777777" w:rsidR="00EB0E83" w:rsidRDefault="00000000">
            <w:r>
              <w:rPr>
                <w:sz w:val="17"/>
              </w:rPr>
              <w:t>22.8x</w:t>
            </w:r>
          </w:p>
        </w:tc>
      </w:tr>
      <w:tr w:rsidR="00EB0E83" w14:paraId="6824CF9D" w14:textId="77777777">
        <w:trPr>
          <w:jc w:val="center"/>
        </w:trPr>
        <w:tc>
          <w:tcPr>
            <w:tcW w:w="1728" w:type="dxa"/>
          </w:tcPr>
          <w:p w14:paraId="5C7E021E" w14:textId="77777777" w:rsidR="00EB0E83" w:rsidRDefault="00000000">
            <w:r>
              <w:rPr>
                <w:sz w:val="17"/>
              </w:rPr>
              <w:t>P/B</w:t>
            </w:r>
          </w:p>
        </w:tc>
        <w:tc>
          <w:tcPr>
            <w:tcW w:w="1728" w:type="dxa"/>
          </w:tcPr>
          <w:p w14:paraId="6924258B" w14:textId="77777777" w:rsidR="00EB0E83" w:rsidRDefault="00000000">
            <w:r>
              <w:rPr>
                <w:sz w:val="17"/>
              </w:rPr>
              <w:t>5.4x</w:t>
            </w:r>
          </w:p>
        </w:tc>
        <w:tc>
          <w:tcPr>
            <w:tcW w:w="1728" w:type="dxa"/>
          </w:tcPr>
          <w:p w14:paraId="2AC12DDF" w14:textId="77777777" w:rsidR="00EB0E83" w:rsidRDefault="00000000">
            <w:r>
              <w:rPr>
                <w:sz w:val="17"/>
              </w:rPr>
              <w:t>3.4x</w:t>
            </w:r>
          </w:p>
        </w:tc>
        <w:tc>
          <w:tcPr>
            <w:tcW w:w="1728" w:type="dxa"/>
          </w:tcPr>
          <w:p w14:paraId="50099ED3" w14:textId="77777777" w:rsidR="00EB0E83" w:rsidRDefault="00000000">
            <w:r>
              <w:rPr>
                <w:sz w:val="17"/>
              </w:rPr>
              <w:t>4.5x</w:t>
            </w:r>
          </w:p>
        </w:tc>
        <w:tc>
          <w:tcPr>
            <w:tcW w:w="1728" w:type="dxa"/>
          </w:tcPr>
          <w:p w14:paraId="1C1EE430" w14:textId="77777777" w:rsidR="00EB0E83" w:rsidRDefault="00000000">
            <w:r>
              <w:rPr>
                <w:sz w:val="17"/>
              </w:rPr>
              <w:t>4.9x</w:t>
            </w:r>
          </w:p>
        </w:tc>
      </w:tr>
      <w:tr w:rsidR="00EB0E83" w14:paraId="64C8A5E5" w14:textId="77777777">
        <w:trPr>
          <w:jc w:val="center"/>
        </w:trPr>
        <w:tc>
          <w:tcPr>
            <w:tcW w:w="1728" w:type="dxa"/>
          </w:tcPr>
          <w:p w14:paraId="673DB37E" w14:textId="77777777" w:rsidR="00EB0E83" w:rsidRDefault="00000000">
            <w:r>
              <w:rPr>
                <w:sz w:val="17"/>
              </w:rPr>
              <w:t>Debt/Equity</w:t>
            </w:r>
          </w:p>
        </w:tc>
        <w:tc>
          <w:tcPr>
            <w:tcW w:w="1728" w:type="dxa"/>
          </w:tcPr>
          <w:p w14:paraId="451BD379" w14:textId="77777777" w:rsidR="00EB0E83" w:rsidRDefault="00000000">
            <w:r>
              <w:rPr>
                <w:sz w:val="17"/>
              </w:rPr>
              <w:t>0.61x</w:t>
            </w:r>
          </w:p>
        </w:tc>
        <w:tc>
          <w:tcPr>
            <w:tcW w:w="1728" w:type="dxa"/>
          </w:tcPr>
          <w:p w14:paraId="578C959C" w14:textId="77777777" w:rsidR="00EB0E83" w:rsidRDefault="00000000">
            <w:r>
              <w:rPr>
                <w:sz w:val="17"/>
              </w:rPr>
              <w:t>0.63x</w:t>
            </w:r>
          </w:p>
        </w:tc>
        <w:tc>
          <w:tcPr>
            <w:tcW w:w="1728" w:type="dxa"/>
          </w:tcPr>
          <w:p w14:paraId="4754548B" w14:textId="77777777" w:rsidR="00EB0E83" w:rsidRDefault="00000000">
            <w:r>
              <w:rPr>
                <w:sz w:val="17"/>
              </w:rPr>
              <w:t>0.55x</w:t>
            </w:r>
          </w:p>
        </w:tc>
        <w:tc>
          <w:tcPr>
            <w:tcW w:w="1728" w:type="dxa"/>
          </w:tcPr>
          <w:p w14:paraId="093C2E4B" w14:textId="77777777" w:rsidR="00EB0E83" w:rsidRDefault="00000000">
            <w:r>
              <w:rPr>
                <w:sz w:val="17"/>
              </w:rPr>
              <w:t>0.44x</w:t>
            </w:r>
          </w:p>
        </w:tc>
      </w:tr>
      <w:tr w:rsidR="00EB0E83" w14:paraId="332FBEE3" w14:textId="77777777">
        <w:trPr>
          <w:jc w:val="center"/>
        </w:trPr>
        <w:tc>
          <w:tcPr>
            <w:tcW w:w="1728" w:type="dxa"/>
          </w:tcPr>
          <w:p w14:paraId="00913A4E" w14:textId="77777777" w:rsidR="00EB0E83" w:rsidRDefault="00000000">
            <w:r>
              <w:rPr>
                <w:sz w:val="17"/>
              </w:rPr>
              <w:t>Cassa netta (¥B)</w:t>
            </w:r>
          </w:p>
        </w:tc>
        <w:tc>
          <w:tcPr>
            <w:tcW w:w="1728" w:type="dxa"/>
          </w:tcPr>
          <w:p w14:paraId="5E767C54" w14:textId="77777777" w:rsidR="00EB0E83" w:rsidRDefault="00000000">
            <w:r>
              <w:rPr>
                <w:sz w:val="17"/>
              </w:rPr>
              <w:t>90.5</w:t>
            </w:r>
          </w:p>
        </w:tc>
        <w:tc>
          <w:tcPr>
            <w:tcW w:w="1728" w:type="dxa"/>
          </w:tcPr>
          <w:p w14:paraId="028C92FD" w14:textId="77777777" w:rsidR="00EB0E83" w:rsidRDefault="00000000">
            <w:r>
              <w:rPr>
                <w:sz w:val="17"/>
              </w:rPr>
              <w:t>139.1</w:t>
            </w:r>
          </w:p>
        </w:tc>
        <w:tc>
          <w:tcPr>
            <w:tcW w:w="1728" w:type="dxa"/>
          </w:tcPr>
          <w:p w14:paraId="65EFA523" w14:textId="77777777" w:rsidR="00EB0E83" w:rsidRDefault="00000000">
            <w:r>
              <w:rPr>
                <w:sz w:val="17"/>
              </w:rPr>
              <w:t>167.1</w:t>
            </w:r>
          </w:p>
        </w:tc>
        <w:tc>
          <w:tcPr>
            <w:tcW w:w="1728" w:type="dxa"/>
          </w:tcPr>
          <w:p w14:paraId="359F1685" w14:textId="77777777" w:rsidR="00EB0E83" w:rsidRDefault="00000000">
            <w:r>
              <w:rPr>
                <w:sz w:val="17"/>
              </w:rPr>
              <w:t>291.2</w:t>
            </w:r>
          </w:p>
        </w:tc>
      </w:tr>
      <w:tr w:rsidR="00EB0E83" w14:paraId="2C69132C" w14:textId="77777777">
        <w:trPr>
          <w:jc w:val="center"/>
        </w:trPr>
        <w:tc>
          <w:tcPr>
            <w:tcW w:w="1728" w:type="dxa"/>
          </w:tcPr>
          <w:p w14:paraId="49BAEABF" w14:textId="77777777" w:rsidR="00EB0E83" w:rsidRDefault="00000000">
            <w:r>
              <w:rPr>
                <w:sz w:val="17"/>
              </w:rPr>
              <w:t>FCF/NI</w:t>
            </w:r>
          </w:p>
        </w:tc>
        <w:tc>
          <w:tcPr>
            <w:tcW w:w="1728" w:type="dxa"/>
          </w:tcPr>
          <w:p w14:paraId="22CC8AE3" w14:textId="77777777" w:rsidR="00EB0E83" w:rsidRDefault="00000000">
            <w:r>
              <w:rPr>
                <w:sz w:val="17"/>
              </w:rPr>
              <w:t>42.3%</w:t>
            </w:r>
          </w:p>
        </w:tc>
        <w:tc>
          <w:tcPr>
            <w:tcW w:w="1728" w:type="dxa"/>
          </w:tcPr>
          <w:p w14:paraId="1BF8F6B7" w14:textId="77777777" w:rsidR="00EB0E83" w:rsidRDefault="00000000">
            <w:r>
              <w:rPr>
                <w:sz w:val="17"/>
              </w:rPr>
              <w:t>134.2%</w:t>
            </w:r>
          </w:p>
        </w:tc>
        <w:tc>
          <w:tcPr>
            <w:tcW w:w="1728" w:type="dxa"/>
          </w:tcPr>
          <w:p w14:paraId="391D9290" w14:textId="77777777" w:rsidR="00EB0E83" w:rsidRDefault="00000000">
            <w:r>
              <w:rPr>
                <w:sz w:val="17"/>
              </w:rPr>
              <w:t>129.7%</w:t>
            </w:r>
          </w:p>
        </w:tc>
        <w:tc>
          <w:tcPr>
            <w:tcW w:w="1728" w:type="dxa"/>
          </w:tcPr>
          <w:p w14:paraId="3E8C6E1D" w14:textId="77777777" w:rsidR="00EB0E83" w:rsidRDefault="00000000">
            <w:r>
              <w:rPr>
                <w:sz w:val="17"/>
              </w:rPr>
              <w:t>125.9%</w:t>
            </w:r>
          </w:p>
        </w:tc>
      </w:tr>
      <w:tr w:rsidR="00EB0E83" w14:paraId="4B1ED7AC" w14:textId="77777777">
        <w:trPr>
          <w:jc w:val="center"/>
        </w:trPr>
        <w:tc>
          <w:tcPr>
            <w:tcW w:w="1728" w:type="dxa"/>
          </w:tcPr>
          <w:p w14:paraId="56114125" w14:textId="77777777" w:rsidR="00EB0E83" w:rsidRDefault="00000000">
            <w:r>
              <w:rPr>
                <w:sz w:val="17"/>
              </w:rPr>
              <w:t>CapEx/Ricavi</w:t>
            </w:r>
          </w:p>
        </w:tc>
        <w:tc>
          <w:tcPr>
            <w:tcW w:w="1728" w:type="dxa"/>
          </w:tcPr>
          <w:p w14:paraId="6EFD1130" w14:textId="77777777" w:rsidR="00EB0E83" w:rsidRDefault="00000000">
            <w:r>
              <w:rPr>
                <w:sz w:val="17"/>
              </w:rPr>
              <w:t>14.7%</w:t>
            </w:r>
          </w:p>
        </w:tc>
        <w:tc>
          <w:tcPr>
            <w:tcW w:w="1728" w:type="dxa"/>
          </w:tcPr>
          <w:p w14:paraId="7D895C17" w14:textId="77777777" w:rsidR="00EB0E83" w:rsidRDefault="00000000">
            <w:r>
              <w:rPr>
                <w:sz w:val="17"/>
              </w:rPr>
              <w:t>8.4%</w:t>
            </w:r>
          </w:p>
        </w:tc>
        <w:tc>
          <w:tcPr>
            <w:tcW w:w="1728" w:type="dxa"/>
          </w:tcPr>
          <w:p w14:paraId="199ECFBA" w14:textId="77777777" w:rsidR="00EB0E83" w:rsidRDefault="00000000">
            <w:r>
              <w:rPr>
                <w:sz w:val="17"/>
              </w:rPr>
              <w:t>8.6%</w:t>
            </w:r>
          </w:p>
        </w:tc>
        <w:tc>
          <w:tcPr>
            <w:tcW w:w="1728" w:type="dxa"/>
          </w:tcPr>
          <w:p w14:paraId="7C93BF4D" w14:textId="77777777" w:rsidR="00EB0E83" w:rsidRDefault="00000000">
            <w:r>
              <w:rPr>
                <w:sz w:val="17"/>
              </w:rPr>
              <w:t>10.0%</w:t>
            </w:r>
          </w:p>
        </w:tc>
      </w:tr>
    </w:tbl>
    <w:p w14:paraId="7944AE22" w14:textId="77777777" w:rsidR="00EB0E83" w:rsidRDefault="00EB0E83"/>
    <w:p w14:paraId="5AD94796" w14:textId="77777777" w:rsidR="00EB0E83" w:rsidRDefault="00000000">
      <w:pPr>
        <w:pStyle w:val="Heading2"/>
      </w:pPr>
      <w:r>
        <w:rPr>
          <w:color w:val="2E5395"/>
        </w:rPr>
        <w:t>Interpretazione</w:t>
      </w:r>
    </w:p>
    <w:p w14:paraId="5C9C1B49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Pattern opposto a tutto il resto analizzato in questa sessione: qui ROIC, margini e qualità cassa migliorano tutti insieme nel tempo, non divergono dal multiplo. Il P/E è sceso da 28.8x a 22.8x nonostante ROIC e margini siano saliti — il mercato sta pagando meno per una qualità operativa crescente, l'esatto contrario della firma "multiplo scollegato dai fondamentali" vista su WM/RKLB/FCX. Il crollo ricavi FY2024 (-9.7%) è già superato e spiegato (pass-through litio, non domanda), con utile netto che non ha mai smesso di crescere nemmeno in quell'anno.</w:t>
      </w:r>
    </w:p>
    <w:p w14:paraId="6BCF9888" w14:textId="77777777" w:rsidR="00EB0E83" w:rsidRPr="009975F8" w:rsidRDefault="00000000">
      <w:pPr>
        <w:rPr>
          <w:lang w:val="it-IT"/>
        </w:rPr>
      </w:pPr>
      <w:r w:rsidRPr="009975F8">
        <w:rPr>
          <w:lang w:val="it-IT"/>
        </w:rPr>
        <w:br w:type="page"/>
      </w:r>
    </w:p>
    <w:p w14:paraId="161B9185" w14:textId="77777777" w:rsidR="00EB0E83" w:rsidRDefault="00000000">
      <w:pPr>
        <w:pStyle w:val="Heading1"/>
      </w:pPr>
      <w:r>
        <w:rPr>
          <w:color w:val="1F3864"/>
        </w:rPr>
        <w:lastRenderedPageBreak/>
        <w:t>12. Verdetto Finale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B0E83" w14:paraId="4A61AFA3" w14:textId="77777777">
        <w:trPr>
          <w:jc w:val="center"/>
        </w:trPr>
        <w:tc>
          <w:tcPr>
            <w:tcW w:w="4320" w:type="dxa"/>
            <w:shd w:val="clear" w:color="auto" w:fill="1F3864"/>
          </w:tcPr>
          <w:p w14:paraId="3AAA5563" w14:textId="77777777" w:rsidR="00EB0E83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4320" w:type="dxa"/>
            <w:shd w:val="clear" w:color="auto" w:fill="1F3864"/>
          </w:tcPr>
          <w:p w14:paraId="339A880A" w14:textId="77777777" w:rsidR="00EB0E83" w:rsidRDefault="00000000">
            <w:r>
              <w:rPr>
                <w:b/>
                <w:color w:val="FFFFFF"/>
                <w:sz w:val="17"/>
              </w:rPr>
              <w:t>Valore</w:t>
            </w:r>
          </w:p>
        </w:tc>
      </w:tr>
      <w:tr w:rsidR="00EB0E83" w14:paraId="3B04FAB5" w14:textId="77777777">
        <w:trPr>
          <w:jc w:val="center"/>
        </w:trPr>
        <w:tc>
          <w:tcPr>
            <w:tcW w:w="4320" w:type="dxa"/>
          </w:tcPr>
          <w:p w14:paraId="209BEF69" w14:textId="77777777" w:rsidR="00EB0E83" w:rsidRDefault="00000000">
            <w:r>
              <w:rPr>
                <w:sz w:val="17"/>
              </w:rPr>
              <w:t>Ticker</w:t>
            </w:r>
          </w:p>
        </w:tc>
        <w:tc>
          <w:tcPr>
            <w:tcW w:w="4320" w:type="dxa"/>
          </w:tcPr>
          <w:p w14:paraId="193C57E7" w14:textId="77777777" w:rsidR="00EB0E83" w:rsidRDefault="00000000">
            <w:r>
              <w:rPr>
                <w:sz w:val="17"/>
              </w:rPr>
              <w:t>300750.SZ (A-share)</w:t>
            </w:r>
          </w:p>
        </w:tc>
      </w:tr>
      <w:tr w:rsidR="00EB0E83" w14:paraId="5F23984D" w14:textId="77777777">
        <w:trPr>
          <w:jc w:val="center"/>
        </w:trPr>
        <w:tc>
          <w:tcPr>
            <w:tcW w:w="4320" w:type="dxa"/>
          </w:tcPr>
          <w:p w14:paraId="4912B7A9" w14:textId="77777777" w:rsidR="00EB0E83" w:rsidRDefault="00000000">
            <w:r>
              <w:rPr>
                <w:sz w:val="17"/>
              </w:rPr>
              <w:t>Track</w:t>
            </w:r>
          </w:p>
        </w:tc>
        <w:tc>
          <w:tcPr>
            <w:tcW w:w="4320" w:type="dxa"/>
          </w:tcPr>
          <w:p w14:paraId="6E1CBA4A" w14:textId="77777777" w:rsidR="00EB0E83" w:rsidRDefault="00000000">
            <w:r>
              <w:rPr>
                <w:sz w:val="17"/>
              </w:rPr>
              <w:t>B-RN</w:t>
            </w:r>
          </w:p>
        </w:tc>
      </w:tr>
      <w:tr w:rsidR="00EB0E83" w14:paraId="7E9AF57F" w14:textId="77777777">
        <w:trPr>
          <w:jc w:val="center"/>
        </w:trPr>
        <w:tc>
          <w:tcPr>
            <w:tcW w:w="4320" w:type="dxa"/>
          </w:tcPr>
          <w:p w14:paraId="73969FB5" w14:textId="77777777" w:rsidR="00EB0E83" w:rsidRDefault="00000000">
            <w:r>
              <w:rPr>
                <w:sz w:val="17"/>
              </w:rPr>
              <w:t>Categoria (Lynch)</w:t>
            </w:r>
          </w:p>
        </w:tc>
        <w:tc>
          <w:tcPr>
            <w:tcW w:w="4320" w:type="dxa"/>
          </w:tcPr>
          <w:p w14:paraId="7479C582" w14:textId="77777777" w:rsidR="00EB0E83" w:rsidRDefault="00000000">
            <w:r>
              <w:rPr>
                <w:sz w:val="17"/>
              </w:rPr>
              <w:t>Fast Grower (con nota Cyclical)</w:t>
            </w:r>
          </w:p>
        </w:tc>
      </w:tr>
      <w:tr w:rsidR="00EB0E83" w14:paraId="54A5D576" w14:textId="77777777">
        <w:trPr>
          <w:jc w:val="center"/>
        </w:trPr>
        <w:tc>
          <w:tcPr>
            <w:tcW w:w="4320" w:type="dxa"/>
          </w:tcPr>
          <w:p w14:paraId="19C91149" w14:textId="77777777" w:rsidR="00EB0E83" w:rsidRDefault="00000000">
            <w:r>
              <w:rPr>
                <w:sz w:val="17"/>
              </w:rPr>
              <w:t>F-Rating</w:t>
            </w:r>
          </w:p>
        </w:tc>
        <w:tc>
          <w:tcPr>
            <w:tcW w:w="4320" w:type="dxa"/>
          </w:tcPr>
          <w:p w14:paraId="51A8D2A5" w14:textId="77777777" w:rsidR="00EB0E83" w:rsidRDefault="00000000">
            <w:r>
              <w:rPr>
                <w:sz w:val="17"/>
              </w:rPr>
              <w:t>Fair-to-Undervalued</w:t>
            </w:r>
          </w:p>
        </w:tc>
      </w:tr>
      <w:tr w:rsidR="00EB0E83" w14:paraId="50700A00" w14:textId="77777777">
        <w:trPr>
          <w:jc w:val="center"/>
        </w:trPr>
        <w:tc>
          <w:tcPr>
            <w:tcW w:w="4320" w:type="dxa"/>
          </w:tcPr>
          <w:p w14:paraId="78FB01AE" w14:textId="77777777" w:rsidR="00EB0E83" w:rsidRDefault="00000000">
            <w:r>
              <w:rPr>
                <w:sz w:val="17"/>
              </w:rPr>
              <w:t>DCF Bear-Base-Bull</w:t>
            </w:r>
          </w:p>
        </w:tc>
        <w:tc>
          <w:tcPr>
            <w:tcW w:w="4320" w:type="dxa"/>
          </w:tcPr>
          <w:p w14:paraId="507C6D0A" w14:textId="77777777" w:rsidR="00EB0E83" w:rsidRDefault="00000000">
            <w:r>
              <w:rPr>
                <w:sz w:val="17"/>
              </w:rPr>
              <w:t>¥321.98 / ¥748.79 / ¥1,597.97</w:t>
            </w:r>
          </w:p>
        </w:tc>
      </w:tr>
      <w:tr w:rsidR="00EB0E83" w:rsidRPr="009975F8" w14:paraId="6F20DFB4" w14:textId="77777777">
        <w:trPr>
          <w:jc w:val="center"/>
        </w:trPr>
        <w:tc>
          <w:tcPr>
            <w:tcW w:w="4320" w:type="dxa"/>
          </w:tcPr>
          <w:p w14:paraId="753C7505" w14:textId="77777777" w:rsidR="00EB0E83" w:rsidRDefault="00000000">
            <w:r>
              <w:rPr>
                <w:sz w:val="17"/>
              </w:rPr>
              <w:t>MoS Gate</w:t>
            </w:r>
          </w:p>
        </w:tc>
        <w:tc>
          <w:tcPr>
            <w:tcW w:w="4320" w:type="dxa"/>
          </w:tcPr>
          <w:p w14:paraId="2B62248C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NONE/BEAR (dipende dal prezzo esatto — verificare)</w:t>
            </w:r>
          </w:p>
        </w:tc>
      </w:tr>
      <w:tr w:rsidR="00EB0E83" w14:paraId="5B6106C3" w14:textId="77777777">
        <w:trPr>
          <w:jc w:val="center"/>
        </w:trPr>
        <w:tc>
          <w:tcPr>
            <w:tcW w:w="4320" w:type="dxa"/>
          </w:tcPr>
          <w:p w14:paraId="5B32FC38" w14:textId="77777777" w:rsidR="00EB0E83" w:rsidRDefault="00000000">
            <w:r>
              <w:rPr>
                <w:sz w:val="17"/>
              </w:rPr>
              <w:t>Compounder</w:t>
            </w:r>
          </w:p>
        </w:tc>
        <w:tc>
          <w:tcPr>
            <w:tcW w:w="4320" w:type="dxa"/>
          </w:tcPr>
          <w:p w14:paraId="4E02C589" w14:textId="77777777" w:rsidR="00EB0E83" w:rsidRDefault="00000000">
            <w:r>
              <w:rPr>
                <w:sz w:val="17"/>
              </w:rPr>
              <w:t>QUALITY (vicino a COMPOUNDER)</w:t>
            </w:r>
          </w:p>
        </w:tc>
      </w:tr>
      <w:tr w:rsidR="00EB0E83" w14:paraId="1A601F32" w14:textId="77777777">
        <w:trPr>
          <w:jc w:val="center"/>
        </w:trPr>
        <w:tc>
          <w:tcPr>
            <w:tcW w:w="4320" w:type="dxa"/>
          </w:tcPr>
          <w:p w14:paraId="344D598E" w14:textId="77777777" w:rsidR="00EB0E83" w:rsidRDefault="00000000">
            <w:r>
              <w:rPr>
                <w:sz w:val="17"/>
              </w:rPr>
              <w:t>AI Impact</w:t>
            </w:r>
          </w:p>
        </w:tc>
        <w:tc>
          <w:tcPr>
            <w:tcW w:w="4320" w:type="dxa"/>
          </w:tcPr>
          <w:p w14:paraId="167179F3" w14:textId="77777777" w:rsidR="00EB0E83" w:rsidRDefault="00000000">
            <w:r>
              <w:rPr>
                <w:sz w:val="17"/>
              </w:rPr>
              <w:t>Neutral-Tailwind (storage/elettrificazione)</w:t>
            </w:r>
          </w:p>
        </w:tc>
      </w:tr>
      <w:tr w:rsidR="00EB0E83" w14:paraId="0D43631B" w14:textId="77777777">
        <w:trPr>
          <w:jc w:val="center"/>
        </w:trPr>
        <w:tc>
          <w:tcPr>
            <w:tcW w:w="4320" w:type="dxa"/>
          </w:tcPr>
          <w:p w14:paraId="74997250" w14:textId="77777777" w:rsidR="00EB0E83" w:rsidRDefault="00000000">
            <w:r>
              <w:rPr>
                <w:sz w:val="17"/>
              </w:rPr>
              <w:t>Horizon</w:t>
            </w:r>
          </w:p>
        </w:tc>
        <w:tc>
          <w:tcPr>
            <w:tcW w:w="4320" w:type="dxa"/>
          </w:tcPr>
          <w:p w14:paraId="3DC36D42" w14:textId="77777777" w:rsidR="00EB0E83" w:rsidRDefault="00000000">
            <w:r>
              <w:rPr>
                <w:sz w:val="17"/>
              </w:rPr>
              <w:t>3-5yr</w:t>
            </w:r>
          </w:p>
        </w:tc>
      </w:tr>
      <w:tr w:rsidR="00EB0E83" w:rsidRPr="009975F8" w14:paraId="2B779703" w14:textId="77777777">
        <w:trPr>
          <w:jc w:val="center"/>
        </w:trPr>
        <w:tc>
          <w:tcPr>
            <w:tcW w:w="4320" w:type="dxa"/>
          </w:tcPr>
          <w:p w14:paraId="6D3DCC63" w14:textId="77777777" w:rsidR="00EB0E83" w:rsidRDefault="00000000">
            <w:r>
              <w:rPr>
                <w:sz w:val="17"/>
              </w:rPr>
              <w:t>Thesis Invalidation</w:t>
            </w:r>
          </w:p>
        </w:tc>
        <w:tc>
          <w:tcPr>
            <w:tcW w:w="4320" w:type="dxa"/>
          </w:tcPr>
          <w:p w14:paraId="76D6DA0A" w14:textId="77777777" w:rsidR="00EB0E83" w:rsidRPr="009975F8" w:rsidRDefault="00000000">
            <w:pPr>
              <w:rPr>
                <w:lang w:val="it-IT"/>
              </w:rPr>
            </w:pPr>
            <w:r w:rsidRPr="009975F8">
              <w:rPr>
                <w:sz w:val="17"/>
                <w:lang w:val="it-IT"/>
              </w:rPr>
              <w:t>ROIC che inverte la tendenza e torna sotto 13%, o un secondo anno di calo ricavi non spiegabile da pass-through prezzi</w:t>
            </w:r>
          </w:p>
        </w:tc>
      </w:tr>
    </w:tbl>
    <w:p w14:paraId="25E91ECA" w14:textId="77777777" w:rsidR="00EB0E83" w:rsidRPr="009975F8" w:rsidRDefault="00EB0E83">
      <w:pPr>
        <w:rPr>
          <w:lang w:val="it-IT"/>
        </w:rPr>
      </w:pPr>
    </w:p>
    <w:p w14:paraId="7B4EF6E8" w14:textId="77777777" w:rsidR="00EB0E83" w:rsidRPr="009975F8" w:rsidRDefault="00000000">
      <w:pPr>
        <w:rPr>
          <w:lang w:val="it-IT"/>
        </w:rPr>
      </w:pPr>
      <w:r w:rsidRPr="009975F8">
        <w:rPr>
          <w:b/>
          <w:color w:val="1F3864"/>
          <w:sz w:val="24"/>
          <w:lang w:val="it-IT"/>
        </w:rPr>
        <w:t>Sintesi</w:t>
      </w:r>
    </w:p>
    <w:p w14:paraId="1F632615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Il profilo qualitativo migliore incontrato in questa sessione — ROIC, margini e FCF che migliorano insieme da 4 anni, leader di mercato in crescita, bilancio fortissimo (cassa netta ¥291B) — scambiato a un prezzo che, secondo il DCF, non è lontano dallo scenario peggiore. Il rischio principale non è la qualità del business, è verificare quale sia il vero prezzo di oggi (¥337 vs ¥316) prima di trarre conclusioni definitive sul margine di sicurezza.</w:t>
      </w:r>
    </w:p>
    <w:p w14:paraId="39B8BA96" w14:textId="77777777" w:rsidR="00EB0E83" w:rsidRPr="009975F8" w:rsidRDefault="00EB0E83">
      <w:pPr>
        <w:rPr>
          <w:lang w:val="it-IT"/>
        </w:rPr>
      </w:pPr>
    </w:p>
    <w:p w14:paraId="7EDAE6DA" w14:textId="77777777" w:rsidR="00EB0E83" w:rsidRPr="009975F8" w:rsidRDefault="00000000">
      <w:pPr>
        <w:rPr>
          <w:lang w:val="it-IT"/>
        </w:rPr>
      </w:pPr>
      <w:r w:rsidRPr="009975F8">
        <w:rPr>
          <w:b/>
          <w:color w:val="1F3864"/>
          <w:lang w:val="it-IT"/>
        </w:rPr>
        <w:t>Cosa cambierebbe il verdetto</w:t>
      </w:r>
    </w:p>
    <w:p w14:paraId="2ED73BA6" w14:textId="77777777" w:rsidR="00EB0E83" w:rsidRPr="009975F8" w:rsidRDefault="00000000">
      <w:pPr>
        <w:rPr>
          <w:lang w:val="it-IT"/>
        </w:rPr>
      </w:pPr>
      <w:r w:rsidRPr="009975F8">
        <w:rPr>
          <w:sz w:val="20"/>
          <w:lang w:val="it-IT"/>
        </w:rPr>
        <w:t>Conferma del prezzo reale di oggi (se ¥316, il caso per COMPOUNDER si rafforza sensibilmente), un secondo trimestre di conferma che l'energy storage compensa la debolezza EV in Cina, o l'assenza di ulteriori aumenti di capitale diluitivi dopo quello di Hong Kong.</w:t>
      </w:r>
    </w:p>
    <w:p w14:paraId="12180BED" w14:textId="77777777" w:rsidR="00EB0E83" w:rsidRPr="009975F8" w:rsidRDefault="00EB0E83">
      <w:pPr>
        <w:rPr>
          <w:lang w:val="it-IT"/>
        </w:rPr>
      </w:pPr>
    </w:p>
    <w:p w14:paraId="3F8E348D" w14:textId="77777777" w:rsidR="00EB0E83" w:rsidRPr="009975F8" w:rsidRDefault="00000000">
      <w:pPr>
        <w:jc w:val="center"/>
        <w:rPr>
          <w:lang w:val="it-IT"/>
        </w:rPr>
      </w:pPr>
      <w:r w:rsidRPr="009975F8">
        <w:rPr>
          <w:color w:val="BFBFBF"/>
          <w:lang w:val="it-IT"/>
        </w:rPr>
        <w:t>─────────────────────────────</w:t>
      </w:r>
    </w:p>
    <w:p w14:paraId="4D82DA91" w14:textId="77777777" w:rsidR="00EB0E83" w:rsidRPr="009975F8" w:rsidRDefault="00000000">
      <w:pPr>
        <w:rPr>
          <w:lang w:val="it-IT"/>
        </w:rPr>
      </w:pPr>
      <w:r w:rsidRPr="009975F8">
        <w:rPr>
          <w:i/>
          <w:color w:val="595959"/>
          <w:sz w:val="18"/>
          <w:lang w:val="it-IT"/>
        </w:rPr>
        <w:t>Disclosure: l'autore non detiene posizioni in CATL alla data di produzione. Questo report non istruisce alcuna azione — è un esercizio di analisi guidato dal framework. In mia opinione, non è consulenza finanziaria, solo il mio punto di vista. Nota anche che i dati fondamentali di una A-share cinese hanno meno standardizzazione/copertura rispetto a un titolo USA/EU, quindi verifica i numeri chiave (specialmente il prezzo) con una fonte diretta prima di agire.</w:t>
      </w:r>
    </w:p>
    <w:sectPr w:rsidR="00EB0E83" w:rsidRPr="009975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773855">
    <w:abstractNumId w:val="8"/>
  </w:num>
  <w:num w:numId="2" w16cid:durableId="266543473">
    <w:abstractNumId w:val="6"/>
  </w:num>
  <w:num w:numId="3" w16cid:durableId="239369356">
    <w:abstractNumId w:val="5"/>
  </w:num>
  <w:num w:numId="4" w16cid:durableId="406850541">
    <w:abstractNumId w:val="4"/>
  </w:num>
  <w:num w:numId="5" w16cid:durableId="1017585212">
    <w:abstractNumId w:val="7"/>
  </w:num>
  <w:num w:numId="6" w16cid:durableId="1040206863">
    <w:abstractNumId w:val="3"/>
  </w:num>
  <w:num w:numId="7" w16cid:durableId="1807433331">
    <w:abstractNumId w:val="2"/>
  </w:num>
  <w:num w:numId="8" w16cid:durableId="2022707651">
    <w:abstractNumId w:val="1"/>
  </w:num>
  <w:num w:numId="9" w16cid:durableId="14129680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75F8"/>
    <w:rsid w:val="00AA1D8D"/>
    <w:rsid w:val="00B47730"/>
    <w:rsid w:val="00CB0664"/>
    <w:rsid w:val="00EB0E83"/>
    <w:rsid w:val="00F351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D4DA77C"/>
  <w14:defaultImageDpi w14:val="300"/>
  <w15:docId w15:val="{6C3B2F50-3C3E-6C42-B253-0678D54F1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1756</Words>
  <Characters>10012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 Guida</cp:lastModifiedBy>
  <cp:revision>2</cp:revision>
  <dcterms:created xsi:type="dcterms:W3CDTF">2013-12-23T23:15:00Z</dcterms:created>
  <dcterms:modified xsi:type="dcterms:W3CDTF">2026-09-15T17:37:00Z</dcterms:modified>
  <cp:category/>
</cp:coreProperties>
</file>