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CRH PLC (NYSE: CRH / LSE: CRH)</w:t>
      </w:r>
    </w:p>
    <w:p>
      <w:r>
        <w:rPr>
          <w:sz w:val="24"/>
        </w:rPr>
        <w:t>Long-Term Conviction Report — Deep-Dive Mode</w:t>
      </w:r>
    </w:p>
    <w:p>
      <w:pPr/>
      <w:r>
        <w:t>Track: A-ID (Industrials — closest sector-appendix fit)  |  Price at production: $88.93 (2026-09-16 close, NYSE)  |  Date: 2026-09-17</w:t>
      </w:r>
    </w:p>
    <w:p>
      <w:pPr/>
      <w:r>
        <w:t>This is a personal long-term conviction analysis, produced by the long-term-analyst.md agent (Deep-Dive Mode) as part of the Trading-Agent long-term track — not financial advice.</w:t>
      </w:r>
    </w:p>
    <w:p>
      <w:pPr>
        <w:pStyle w:val="Heading1"/>
      </w:pPr>
      <w:r>
        <w:t>Contents</w:t>
      </w:r>
    </w:p>
    <w:p>
      <w:pPr>
        <w:pStyle w:val="ListBullet"/>
      </w:pPr>
      <w:r>
        <w:t>0. Recent Context — Last Earnings &amp; News</w:t>
      </w:r>
    </w:p>
    <w:p>
      <w:pPr>
        <w:pStyle w:val="ListBullet"/>
      </w:pPr>
      <w:r>
        <w:t>1. Business Overview</w:t>
      </w:r>
    </w:p>
    <w:p>
      <w:pPr>
        <w:pStyle w:val="ListBullet"/>
      </w:pPr>
      <w:r>
        <w:t>2. Routing</w:t>
      </w:r>
    </w:p>
    <w:p>
      <w:pPr>
        <w:pStyle w:val="ListBullet"/>
      </w:pPr>
      <w:r>
        <w:t>3. Categorization (Lynch)</w:t>
      </w:r>
    </w:p>
    <w:p>
      <w:pPr>
        <w:pStyle w:val="ListBullet"/>
      </w:pPr>
      <w:r>
        <w:t>4. Earnings Quality (Penman)</w:t>
      </w:r>
    </w:p>
    <w:p>
      <w:pPr>
        <w:pStyle w:val="ListBullet"/>
      </w:pPr>
      <w:r>
        <w:t>5. Valuation — DCF (Koller)</w:t>
      </w:r>
    </w:p>
    <w:p>
      <w:pPr>
        <w:pStyle w:val="ListBullet"/>
      </w:pPr>
      <w:r>
        <w:t>6. Mauboussin — Price-Implied Expectations</w:t>
      </w:r>
    </w:p>
    <w:p>
      <w:pPr>
        <w:pStyle w:val="ListBullet"/>
      </w:pPr>
      <w:r>
        <w:t>7. Fisher — Qualitative Checklist</w:t>
      </w:r>
    </w:p>
    <w:p>
      <w:pPr>
        <w:pStyle w:val="ListBullet"/>
      </w:pPr>
      <w:r>
        <w:t>8. Ilmanen — Factor Read</w:t>
      </w:r>
    </w:p>
    <w:p>
      <w:pPr>
        <w:pStyle w:val="ListBullet"/>
      </w:pPr>
      <w:r>
        <w:t>9. Quality Compounder Screen</w:t>
      </w:r>
    </w:p>
    <w:p>
      <w:pPr>
        <w:pStyle w:val="ListBullet"/>
      </w:pPr>
      <w:r>
        <w:t>10. Sector Appendix — Industrials</w:t>
      </w:r>
    </w:p>
    <w:p>
      <w:pPr>
        <w:pStyle w:val="ListBullet"/>
      </w:pPr>
      <w:r>
        <w:t>11. Five-Year Ratio Trend Analysis</w:t>
      </w:r>
    </w:p>
    <w:p>
      <w:pPr>
        <w:pStyle w:val="ListBullet"/>
      </w:pPr>
      <w:r>
        <w:t>12. Final Verdict</w:t>
      </w:r>
    </w:p>
    <w:p>
      <w:pPr>
        <w:pStyle w:val="Heading1"/>
      </w:pPr>
      <w:r>
        <w:t>0. Recent Context — Last Earnings &amp; News</w:t>
      </w:r>
    </w:p>
    <w:p>
      <w:pPr>
        <w:pStyle w:val="Heading2"/>
      </w:pPr>
      <w:r>
        <w:t>Last Reported Quarter (Q2 2026, reported 2026-07-30/31)</w:t>
      </w:r>
    </w:p>
    <w:p>
      <w:pPr>
        <w:pStyle w:val="ListBullet"/>
      </w:pPr>
      <w:r>
        <w:t>Revenue $10.8B, up from an implied ~$10.19B in Q2 2025 (+6% YoY) — driven by positive pricing momentum, good underlying demand, and acquisition contributions.</w:t>
      </w:r>
    </w:p>
    <w:p>
      <w:pPr>
        <w:pStyle w:val="ListBullet"/>
      </w:pPr>
      <w:r>
        <w:t>Adjusted EBITDA $2.6B, up from an implied ~$2.43B in Q2 2025 (+7% YoY); Adjusted EBITDA margin 24.4%, ahead of the prior-year quarter.</w:t>
      </w:r>
    </w:p>
    <w:p>
      <w:pPr>
        <w:pStyle w:val="ListBullet"/>
      </w:pPr>
      <w:r>
        <w:t>Net income $1.5B, up from an implied ~$1.33B in Q2 2025 (+13% YoY), driven by strong operating performance and gains on divestitures during the period; net income margin 14.0%.</w:t>
      </w:r>
    </w:p>
    <w:p>
      <w:pPr>
        <w:pStyle w:val="ListBullet"/>
      </w:pPr>
      <w:r>
        <w:t>Aggregates volumes +2% YoY; management characterised aggregates pricing as strong (above +5%) across markets — a volume/price divergence consistent with a pricing-led, not volume-led, growth quarter.</w:t>
      </w:r>
    </w:p>
    <w:p>
      <w:pPr>
        <w:pStyle w:val="ListBullet"/>
      </w:pPr>
      <w:r>
        <w:t>FY2026 guidance reaffirmed (not raised) despite the Q2 beat: Net income $3.9B-$4.1B, Adjusted EBITDA $8.1B-$8.5B, Diluted EPS $5.60-$6.05 — full-year, vs FY2025 actuals of $3.73B net income and diluted EPS not restated here.</w:t>
      </w:r>
    </w:p>
    <w:p>
      <w:pPr>
        <w:pStyle w:val="ListBullet"/>
      </w:pPr>
      <w:r>
        <w:t>Management commentary: encouraged by underlying demand across key markets "despite current geopolitical and macroeconomic uncertainties"; Q2 call specifically cited strong demand in utility infrastructure markets offsetting other headwinds.</w:t>
      </w:r>
    </w:p>
    <w:p>
      <w:pPr>
        <w:pStyle w:val="Heading2"/>
      </w:pPr>
      <w:r>
        <w:t>Recent News (trailing ~60-90 days)</w:t>
      </w:r>
    </w:p>
    <w:p>
      <w:pPr>
        <w:pStyle w:val="ListBullet"/>
      </w:pPr>
      <w:r>
        <w:t>M&amp;A — Arcosa acquisition (announced/closing ~July 2026): all-cash $8.5B deal ($150/share, a 25% premium to Arcosa's 60-day VWAP), EV/EBITDA 11.5x on 2026 guidance. Reinforces CRH's position as the largest US aggregates producer with over 265 million tons of combined annualized production. This is a step-change in deal size versus CRH's stated bolt-on M&amp;A strategy (H1 2025: 13 bolt-ons for $0.7B combined; Q1 2026: 5 acquisitions for $0.1B combined) — Arcosa alone is larger than roughly a decade of typical bolt-on spend in a single transaction.</w:t>
      </w:r>
    </w:p>
    <w:p>
      <w:pPr>
        <w:pStyle w:val="ListBullet"/>
      </w:pPr>
      <w:r>
        <w:t>Divestitures: construction accessories, lawn &amp; garden, and MoistureShield businesses divested for a combined $2.0B (timing per FY2025/Q1 2026 disclosures) — continued portfolio-pruning toward higher-margin Building &amp; Infrastructure Solutions.</w:t>
      </w:r>
    </w:p>
    <w:p>
      <w:pPr>
        <w:pStyle w:val="ListBullet"/>
      </w:pPr>
      <w:r>
        <w:t>Stock price action: shares fell to a fresh 52-week low ($86.32 intraday, per mid-September reporting) and are down 23.67% YTD as of mid-September 2026, despite the Q2 beat — reporting attributes the decline less to operating results and more to investor concern over valuation and capital allocation (reaffirmed rather than raised guidance, plus the debt-funded scale of the Arcosa deal).</w:t>
      </w:r>
    </w:p>
    <w:p>
      <w:pPr>
        <w:pStyle w:val="ListBullet"/>
      </w:pPr>
      <w:r>
        <w:t>Analyst activity: Morgan Stanley resumed coverage with an Overweight rating and a $139 price target (2026-09-10, stock at $87.66); Wells Fargo reaffirmed Overweight while trimming its target to $107 (2026-09-09, stock at $89.35). Consensus average 12-month target sits near $138 (range $105-$165), a Strong Buy skew (21 buys, 0 sells) — a wide, currently unresolved gap versus where the stock trades.</w:t>
      </w:r>
    </w:p>
    <w:p>
      <w:pPr>
        <w:pStyle w:val="ListBullet"/>
      </w:pPr>
      <w:r>
        <w:t>Insider activity: net buyers over the trailing year (94.75k shares bought worth $8.5M vs 38.49k shares sold worth $3.2M). Two director purchases in March 2026 (Siobhan Talbot, 2,000 shares; Richard H Fearon, 3,800 shares, ~$397k) predate the sharpest leg of the decline. One notable sale: officer Padraig O'Riordain sold 1,492 shares on 2026-05-15 near $104.45 — well above the current price.</w:t>
      </w:r>
    </w:p>
    <w:p>
      <w:pPr>
        <w:pStyle w:val="ListBullet"/>
      </w:pPr>
      <w:r>
        <w:t>Policy context: the Infrastructure Investment and Jobs Act (IIJA)'s highway-program authorities, due to expire 2026-09-30, have been extended to 2026-12-11 (H.R. 6500) while Congress works a full reauthorization (H.R. 8870, the BUILD America 250 Act, reported out of committee May 2026). The Congressional Budget Office projects the Highway Trust Fund's highway account approaches zero by FY2028 — a structural funding risk beyond the immediate extension.</w:t>
      </w:r>
    </w:p>
    <w:p>
      <w:pPr/>
      <w:r>
        <w:t>Sources: CRH Q2 2026 results announcement and press release (crh.com, sec.gov 8-K); Yahoo Finance/Investing.com/ad-hoc-news.de coverage of the September 2026 share-price decline and analyst actions; GuruFocus/Quiverquant insider-transaction coverage; Congress.gov CRS reports on IIJA/surface transportation reauthorization; CRH Arcosa acquisition press release.</w:t>
      </w:r>
    </w:p>
    <w:p>
      <w:pPr>
        <w:pStyle w:val="Heading1"/>
      </w:pPr>
      <w:r>
        <w:t>1. Business Overview</w:t>
      </w:r>
    </w:p>
    <w:p>
      <w:pPr>
        <w:pStyle w:val="Heading2"/>
      </w:pPr>
      <w:r>
        <w:t>Business segments</w:t>
      </w:r>
    </w:p>
    <w:p>
      <w:pPr>
        <w:pStyle w:val="ListBullet"/>
      </w:pPr>
      <w:r>
        <w:t>CRH reports through three segments across two divisions. Americas Division: Americas Materials Solutions ($17.0B FY2025 revenue, ~45.5% of group) — aggregates, cement, and other essential materials plus paving/construction services; and Americas Building Solutions ($7.1B, ~19.0%) — building products, outdoor living, and infrastructure products for construction and utility markets. International Division: International Solutions ($13.3B, ~35.6%) — the equivalent materials-and-solutions business outside the Americas (Europe and other international markets). FY2025 total group revenue $37.4B.</w:t>
      </w:r>
    </w:p>
    <w:p>
      <w:pPr>
        <w:pStyle w:val="ListBullet"/>
      </w:pPr>
      <w:r>
        <w:t>Business lines cut across the segment structure: Essential Materials (aggregates and cementitious materials), Road Solutions, Building &amp; Infrastructure Solutions, and Outdoor Living Solutions — CRH's own internal framing for how it evaluates the portfolio regardless of segment reporting lines.</w:t>
      </w:r>
    </w:p>
    <w:p>
      <w:pPr>
        <w:pStyle w:val="ListBullet"/>
      </w:pPr>
      <w:r>
        <w:t>The Arcosa acquisition (closed ~July 2026, $8.5B) adds critical-infrastructure products (aggregates, engineered structures, transportation-related products) and will be integrated into the Americas segments; pro-forma segment revenue mix from this deal was not independently found this session — [NO DATA].</w:t>
      </w:r>
    </w:p>
    <w:p>
      <w:pPr>
        <w:pStyle w:val="Heading2"/>
      </w:pPr>
      <w:r>
        <w:t>Principal markets</w:t>
      </w:r>
    </w:p>
    <w:p>
      <w:pPr>
        <w:pStyle w:val="ListBullet"/>
      </w:pPr>
      <w:r>
        <w:t>Geographic mix is Americas-weighted (Materials Solutions + Building Solutions together ~64.5% of FY2025 revenue) with International Solutions (~35.6%) covering non-Americas markets. CRH moved its primary stock listing to the NYSE in 2023, reflecting the Americas' centrality to the current strategy and investor base, while retaining a secondary LSE listing.</w:t>
      </w:r>
    </w:p>
    <w:p>
      <w:pPr>
        <w:pStyle w:val="ListBullet"/>
      </w:pPr>
      <w:r>
        <w:t>Customer base is largely infrastructure- and construction-driven: public-sector highway/transportation spending (a direct beneficiary of IIJA-funded work), utility and data-center-adjacent infrastructure buildout, non-residential construction, and residential/outdoor-living products. CRH does not sell to a single dominant customer type — demand is diversified across public infrastructure budgets and private construction cycles.</w:t>
      </w:r>
    </w:p>
    <w:p>
      <w:pPr>
        <w:pStyle w:val="ListBullet"/>
      </w:pPr>
      <w:r>
        <w:t>Competitive set: large aggregates/cement peers include Martin Marietta Materials, Vulcan Materials (US aggregates), and Holcim/Heidelberg Materials (international cement); CRH differentiates on scale (now the largest US aggregates producer post-Arcosa, &gt;265 million tons combined annualized production) and its business-line diversification into higher-margin Building &amp; Infrastructure Solutions rather than being a pure aggregates/cement pricer.</w:t>
      </w:r>
    </w:p>
    <w:p>
      <w:pPr>
        <w:pStyle w:val="Heading2"/>
      </w:pPr>
      <w:r>
        <w:t>TAM (Total Addressable Market)</w:t>
      </w:r>
    </w:p>
    <w:p>
      <w:pPr>
        <w:pStyle w:val="ListBullet"/>
      </w:pPr>
      <w:r>
        <w:t>CRH does not disclose a company-defined TAM figure in the sources checked this session — [NO DATA] on a company-sourced estimate. As an independent proxy: the American Road &amp; Transportation Builders Association projects the US transportation construction market reaching a record ~$210B in 2026 as IIJA-committed funds become operational, with the IIJA's ~$350B five-year (FY2022-2026) federal highway allocation disbursing its heaviest project-level construction activity in 2025-2026 specifically. This is one demand pool among several CRH serves (transportation is not the whole of Materials Solutions, let alone the group), so it should be read as directional context for the Materials/Road Solutions lines rather than a group-wide TAM.</w:t>
      </w:r>
    </w:p>
    <w:p>
      <w:pPr>
        <w:pStyle w:val="ListBullet"/>
      </w:pPr>
      <w:r>
        <w:t>Penetration (CRH revenue ÷ this proxy TAM) is not meaningful to compute given the proxy only covers one demand channel (US transportation construction) against a global, multi-end-market revenue base — not attempted here to avoid a misleading ratio.</w:t>
      </w:r>
    </w:p>
    <w:p>
      <w:pPr>
        <w:pStyle w:val="Heading1"/>
      </w:pPr>
      <w:r>
        <w:t>2. Routing</w:t>
      </w:r>
    </w:p>
    <w:p>
      <w:pPr/>
      <w:r>
        <w:t>Track A-ID (Traditional / Industrials). CRH is a mature, capital-intensive, asset-heavy business (quarries, cement plants, fixed manufacturing assets) with a multi-decade operating history — squarely Track A, not a growth-track name. There is no dedicated "Building Materials" code in this framework's Sector Appendix list (BK, IN, AM, FT, TK, AI, ID, PH, MD, HC, CS, CD, LX, RT, UT, MN, CH, TR, AD, TL, ME, MK, RN, OG, BT, RJ, SM, SP); the closest fit is A-ID (Industrials) — EV/EBITDA, ROIC, organic growth, EBIT margin, and operating leverage all map cleanly onto CRH's business. Two Industrials metrics do not map cleanly and are flagged rather than fabricated in Section 10: CRH does not report a traditional order backlog or book-to-bill ratio the way capital-goods/machinery companies do (its revenue is driven by ongoing materials shipments and project work, not a discrete order book), and it has no classic "aftermarket/service revenue" line since it is not an equipment manufacturer. A secondary read against Mining &amp; Metals (aggregates-as-quarried-resource) or Chemicals (cement manufacturing) was considered but Industrials remains the better overall fit given CRH's diversified, multi-line building-solutions portfolio rather than a single-commodity profile.</w:t>
      </w:r>
    </w:p>
    <w:p>
      <w:pPr>
        <w:pStyle w:val="Heading1"/>
      </w:pPr>
      <w:r>
        <w:t>3. Categorization (Lynch)</w:t>
      </w:r>
    </w:p>
    <w:p>
      <w:pPr/>
      <w:r>
        <w:t>Cyclical, tilting toward Stalwart. Revenue and earnings track the construction/infrastructure cycle (public highway spending, non-residential construction, housing-linked outdoor-living products), which is the defining Lynch-Cyclical trait — pricing and volume both respond to macro/rate conditions (the current 10Y UST at ~5.0% and elevated financial conditions are a real demand headwind for construction generally). But CRH's revenue growth has been steadier than a classic single-commodity cyclical (FY2022-TTM revenue grew every year: $32.7B to $38.6B) because of continuous bolt-on M&amp;A layered on top of the organic cycle and a deliberate shift toward higher-margin, less commodity-priced Building &amp; Infrastructure Solutions. Net: treat as Cyclical for valuation-multiple purposes (Section 8's Lynch fair-P/E table, mid-cycle assumptions) rather than assuming Stalwart-grade earnings stability.</w:t>
      </w:r>
    </w:p>
    <w:p>
      <w:pPr>
        <w:pStyle w:val="Heading1"/>
      </w:pPr>
      <w:r>
        <w:t>4. Earnings Quality (Penman)</w:t>
      </w:r>
    </w:p>
    <w:p>
      <w:pPr>
        <w:pStyle w:val="ListBullet"/>
      </w:pPr>
      <w:r>
        <w:t>Operating cash flow has consistently and comfortably exceeded net income every year in the data found (FY2022 OCF ~$3.8B-equivalent implied by FCF+CapEx of $2,277M+$1,523M=$3.8B vs NI $3,902M — roughly in line; FY2025 OCF $5,625M vs NI $3,730M, OCF well above NI) — no Sloan-anomaly-style divergence of rising net income against flat/declining OCF was found; a full Jones/Sloan accrual-ratio calculation was not attempted this session for lack of average-total-assets data, so this is a directional read, not a computed accrual ratio — [PARTIAL DATA].</w:t>
      </w:r>
    </w:p>
    <w:p>
      <w:pPr>
        <w:pStyle w:val="ListBullet"/>
      </w:pPr>
      <w:r>
        <w:t>RNOA vs. leverage: ROE has risen from 12.15% (FY2021) to 15.81% (current), a genuine improvement, but Debt/Equity has also risen over the same window (0.58 -&gt; 0.78) and will step up further once the debt-funded Arcosa deal is fully reflected on the balance sheet (total debt already $19.8B at Jun-2026, pre-Arcosa-close). Some portion of the ROE gain is mechanically leverage-assisted rather than pure operating-return improvement — cannot fully separate RNOA from the leverage effect without net operating asset detail not sourced this session, but the EBIT-margin expansion (11.34% FY2021 -&gt; 14.13% TTM) confirms a real operating-improvement component exists alongside the leverage effect, not leverage alone.</w:t>
      </w:r>
    </w:p>
    <w:p>
      <w:pPr>
        <w:pStyle w:val="ListBullet"/>
      </w:pPr>
      <w:r>
        <w:t>Dilution: shares outstanding have not grown materially — growth has been funded with debt (total debt +81% from FY2021's $12.2B to the current $19.8B, before Arcosa) and internally generated cash flow, not equity issuance. This is the opposite of a Fisher #13 dilution red flag, but it substitutes a leverage risk for a dilution risk — worth tracking net debt/EBITDA post-Arcosa rather than treating the absence of dilution as costless.</w:t>
      </w:r>
    </w:p>
    <w:p>
      <w:pPr>
        <w:pStyle w:val="Heading1"/>
      </w:pPr>
      <w:r>
        <w:t>5. Valuation — DCF (Koller)</w:t>
      </w:r>
    </w:p>
    <w:p>
      <w:pPr>
        <w:pStyle w:val="Heading2"/>
      </w:pPr>
      <w:r>
        <w:t>WACC Construction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Input</w:t>
            </w:r>
          </w:p>
        </w:tc>
        <w:tc>
          <w:tcPr>
            <w:tcW w:type="dxa" w:w="4320"/>
            <w:shd w:val="clear" w:color="auto" w:fill="D9D9D9"/>
          </w:tcPr>
          <w:p>
            <w:r>
              <w:rPr>
                <w:b/>
              </w:rPr>
              <w:t>Value</w:t>
            </w:r>
          </w:p>
        </w:tc>
      </w:tr>
      <w:tr>
        <w:tc>
          <w:tcPr>
            <w:tcW w:type="dxa" w:w="4320"/>
          </w:tcPr>
          <w:p>
            <w:r>
              <w:t>Risk-free rate (10Y UST, 2026-09-17)</w:t>
            </w:r>
          </w:p>
        </w:tc>
        <w:tc>
          <w:tcPr>
            <w:tcW w:type="dxa" w:w="4320"/>
          </w:tcPr>
          <w:p>
            <w:r>
              <w:t>5.02%</w:t>
            </w:r>
          </w:p>
        </w:tc>
      </w:tr>
      <w:tr>
        <w:tc>
          <w:tcPr>
            <w:tcW w:type="dxa" w:w="4320"/>
          </w:tcPr>
          <w:p>
            <w:r>
              <w:t>Beta (levered)</w:t>
            </w:r>
          </w:p>
        </w:tc>
        <w:tc>
          <w:tcPr>
            <w:tcW w:type="dxa" w:w="4320"/>
          </w:tcPr>
          <w:p>
            <w:r>
              <w:t>1.20</w:t>
            </w:r>
          </w:p>
        </w:tc>
      </w:tr>
      <w:tr>
        <w:tc>
          <w:tcPr>
            <w:tcW w:type="dxa" w:w="4320"/>
          </w:tcPr>
          <w:p>
            <w:r>
              <w:t>Equity risk premium (Damodaran implied, US)</w:t>
            </w:r>
          </w:p>
        </w:tc>
        <w:tc>
          <w:tcPr>
            <w:tcW w:type="dxa" w:w="4320"/>
          </w:tcPr>
          <w:p>
            <w:r>
              <w:t>4.50%</w:t>
            </w:r>
          </w:p>
        </w:tc>
      </w:tr>
      <w:tr>
        <w:tc>
          <w:tcPr>
            <w:tcW w:type="dxa" w:w="4320"/>
          </w:tcPr>
          <w:p>
            <w:r>
              <w:t>Cost of equity (Re = Rf + beta x ERP)</w:t>
            </w:r>
          </w:p>
        </w:tc>
        <w:tc>
          <w:tcPr>
            <w:tcW w:type="dxa" w:w="4320"/>
          </w:tcPr>
          <w:p>
            <w:r>
              <w:t>10.42%</w:t>
            </w:r>
          </w:p>
        </w:tc>
      </w:tr>
      <w:tr>
        <w:tc>
          <w:tcPr>
            <w:tcW w:type="dxa" w:w="4320"/>
          </w:tcPr>
          <w:p>
            <w:r>
              <w:t>Cost of debt (pre-tax, BBB+/Baa1 spread over current 10Y UST)</w:t>
            </w:r>
          </w:p>
        </w:tc>
        <w:tc>
          <w:tcPr>
            <w:tcW w:type="dxa" w:w="4320"/>
          </w:tcPr>
          <w:p>
            <w:r>
              <w:t>5.70%</w:t>
            </w:r>
          </w:p>
        </w:tc>
      </w:tr>
      <w:tr>
        <w:tc>
          <w:tcPr>
            <w:tcW w:type="dxa" w:w="4320"/>
          </w:tcPr>
          <w:p>
            <w:r>
              <w:t>Tax rate (FY2026 guided effective rate)</w:t>
            </w:r>
          </w:p>
        </w:tc>
        <w:tc>
          <w:tcPr>
            <w:tcW w:type="dxa" w:w="4320"/>
          </w:tcPr>
          <w:p>
            <w:r>
              <w:t>24.0%</w:t>
            </w:r>
          </w:p>
        </w:tc>
      </w:tr>
      <w:tr>
        <w:tc>
          <w:tcPr>
            <w:tcW w:type="dxa" w:w="4320"/>
          </w:tcPr>
          <w:p>
            <w:r>
              <w:t>Cost of debt (after-tax)</w:t>
            </w:r>
          </w:p>
        </w:tc>
        <w:tc>
          <w:tcPr>
            <w:tcW w:type="dxa" w:w="4320"/>
          </w:tcPr>
          <w:p>
            <w:r>
              <w:t>4.33%</w:t>
            </w:r>
          </w:p>
        </w:tc>
      </w:tr>
      <w:tr>
        <w:tc>
          <w:tcPr>
            <w:tcW w:type="dxa" w:w="4320"/>
          </w:tcPr>
          <w:p>
            <w:r>
              <w:t>Capital structure basis</w:t>
            </w:r>
          </w:p>
        </w:tc>
        <w:tc>
          <w:tcPr>
            <w:tcW w:type="dxa" w:w="4320"/>
          </w:tcPr>
          <w:p>
            <w:r>
              <w:t>Pro-forma post-Arcosa close (~$8.5B all-cash deal)</w:t>
            </w:r>
          </w:p>
        </w:tc>
      </w:tr>
      <w:tr>
        <w:tc>
          <w:tcPr>
            <w:tcW w:type="dxa" w:w="4320"/>
          </w:tcPr>
          <w:p>
            <w:r>
              <w:t>E/V (market cap $59.2B / (equity + pro-forma debt $28.3B))</w:t>
            </w:r>
          </w:p>
        </w:tc>
        <w:tc>
          <w:tcPr>
            <w:tcW w:type="dxa" w:w="4320"/>
          </w:tcPr>
          <w:p>
            <w:r>
              <w:t>67.7%</w:t>
            </w:r>
          </w:p>
        </w:tc>
      </w:tr>
      <w:tr>
        <w:tc>
          <w:tcPr>
            <w:tcW w:type="dxa" w:w="4320"/>
          </w:tcPr>
          <w:p>
            <w:r>
              <w:t>D/V</w:t>
            </w:r>
          </w:p>
        </w:tc>
        <w:tc>
          <w:tcPr>
            <w:tcW w:type="dxa" w:w="4320"/>
          </w:tcPr>
          <w:p>
            <w:r>
              <w:t>32.3%</w:t>
            </w:r>
          </w:p>
        </w:tc>
      </w:tr>
      <w:tr>
        <w:tc>
          <w:tcPr>
            <w:tcW w:type="dxa" w:w="4320"/>
          </w:tcPr>
          <w:p>
            <w:r>
              <w:t>WACC</w:t>
            </w:r>
          </w:p>
        </w:tc>
        <w:tc>
          <w:tcPr>
            <w:tcW w:type="dxa" w:w="4320"/>
          </w:tcPr>
          <w:p>
            <w:r>
              <w:t>8.45%</w:t>
            </w:r>
          </w:p>
        </w:tc>
      </w:tr>
    </w:tbl>
    <w:p>
      <w:pPr/>
      <w:r>
        <w:t>WACC of 8.45% sits just under this framework's own 8.5% floor for a "typical" US Industrials WACC — not a red-flag-level inflation of value (the framework's explicit re-check trigger is WACC &lt; 7%), but on the low side, driven by a still-majority-equity capital structure even after layering in the Arcosa debt. Using pre-Arcosa debt weights instead would push WACC to roughly 8.7-8.8%, i.e. this choice is conservative in the sense that it makes CRH's DCF value slightly higher, not lower, than a pre-deal capital structure would.</w:t>
      </w:r>
    </w:p>
    <w:p>
      <w:pPr>
        <w:pStyle w:val="Heading2"/>
      </w:pPr>
      <w:r>
        <w:t>ROIC vs. WACC</w:t>
      </w:r>
    </w:p>
    <w:p>
      <w:pPr/>
      <w:r>
        <w:t>NOPLAT (TTM) = EBIT $5,457M x (1 - 24%) = $4,147M. Invested capital, proxied as total debt + equity - cash (equity backed out from ROE: TTM net income $3,814M / ROE 15.81% ~= $24.1B equity) = $19,813M + $24,100M - $3,025M ~= $40,738M-$40.9B. ROIC ~= 10.2%. Against WACC of 8.45%, the spread is roughly +1.7 points -- a modest, not wide, value-creation margin. This is well short of the framework's "ROIC &gt; WACC + 5%" value-creating-machine bar, and is consistent with a mature, capital-intensive materials business rather than a structurally moated compounder. The spread has been widening over time as EBIT margins expanded (2021 EBIT margin 11.34% implies a materially lower historical ROIC), which is the constructive read; the modest absolute level today is the cautious one.</w:t>
      </w:r>
    </w:p>
    <w:p>
      <w:pPr>
        <w:pStyle w:val="Heading2"/>
      </w:pPr>
      <w:r>
        <w:t>Scenario Analysis — 5-Year Explicit Forecast + Terminal Value</w:t>
      </w:r>
    </w:p>
    <w:p>
      <w:pPr/>
      <w:r>
        <w:t>Methodology: 5-year explicit FCFF forecast from a TTM base (revenue $38,632M, NOPLAT margin 10.74%), with net reinvestment sized off the current ~0.95x TTM sales-to-invested-capital ratio (i.e., roughly $1.06 of net investment per $1 of incremental revenue) -- a capital-intensity figure directly supported by the data: total debt grew faster in absolute dollars ($10,955M FY2022 to $19,813M TTM, +$8.86B) than revenue grew over the same window (+$5.9B), consistent with CRH funding growth through debt-heavy reinvestment and M&amp;A rather than organic cash generation alone. This reinvestment intensity is held constant across all three scenarios per Benninga's rule (only growth, margin, and terminal assumptions toggle between scenarios).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Pr>
                <w:b/>
              </w:rPr>
              <w:t>Scenario</w:t>
            </w:r>
          </w:p>
        </w:tc>
        <w:tc>
          <w:tcPr>
            <w:tcW w:type="dxa" w:w="1234"/>
            <w:shd w:val="clear" w:color="auto" w:fill="D9D9D9"/>
          </w:tcPr>
          <w:p>
            <w:r>
              <w:rPr>
                <w:b/>
              </w:rPr>
              <w:t>Year-5 Revenue</w:t>
            </w:r>
          </w:p>
        </w:tc>
        <w:tc>
          <w:tcPr>
            <w:tcW w:type="dxa" w:w="1234"/>
            <w:shd w:val="clear" w:color="auto" w:fill="D9D9D9"/>
          </w:tcPr>
          <w:p>
            <w:r>
              <w:rPr>
                <w:b/>
              </w:rPr>
              <w:t>Year-5 NOPLAT margin</w:t>
            </w:r>
          </w:p>
        </w:tc>
        <w:tc>
          <w:tcPr>
            <w:tcW w:type="dxa" w:w="1234"/>
            <w:shd w:val="clear" w:color="auto" w:fill="D9D9D9"/>
          </w:tcPr>
          <w:p>
            <w:r>
              <w:rPr>
                <w:b/>
              </w:rPr>
              <w:t>Terminal growth (g)</w:t>
            </w:r>
          </w:p>
        </w:tc>
        <w:tc>
          <w:tcPr>
            <w:tcW w:type="dxa" w:w="1234"/>
            <w:shd w:val="clear" w:color="auto" w:fill="D9D9D9"/>
          </w:tcPr>
          <w:p>
            <w:r>
              <w:rPr>
                <w:b/>
              </w:rPr>
              <w:t>Terminal ROIC</w:t>
            </w:r>
          </w:p>
        </w:tc>
        <w:tc>
          <w:tcPr>
            <w:tcW w:type="dxa" w:w="1234"/>
            <w:shd w:val="clear" w:color="auto" w:fill="D9D9D9"/>
          </w:tcPr>
          <w:p>
            <w:r>
              <w:rPr>
                <w:b/>
              </w:rPr>
              <w:t>% of EV in Terminal Value</w:t>
            </w:r>
          </w:p>
        </w:tc>
        <w:tc>
          <w:tcPr>
            <w:tcW w:type="dxa" w:w="1234"/>
            <w:shd w:val="clear" w:color="auto" w:fill="D9D9D9"/>
          </w:tcPr>
          <w:p>
            <w:r>
              <w:rPr>
                <w:b/>
              </w:rPr>
              <w:t>Intrinsic value / share</w:t>
            </w:r>
          </w:p>
        </w:tc>
      </w:tr>
      <w:tr>
        <w:tc>
          <w:tcPr>
            <w:tcW w:type="dxa" w:w="1234"/>
          </w:tcPr>
          <w:p>
            <w:r>
              <w:t>Bear</w:t>
            </w:r>
          </w:p>
        </w:tc>
        <w:tc>
          <w:tcPr>
            <w:tcW w:type="dxa" w:w="1234"/>
          </w:tcPr>
          <w:p>
            <w:r>
              <w:t>$45.9B (+3.5%/yr)</w:t>
            </w:r>
          </w:p>
        </w:tc>
        <w:tc>
          <w:tcPr>
            <w:tcW w:type="dxa" w:w="1234"/>
          </w:tcPr>
          <w:p>
            <w:r>
              <w:t>8.50% (-300bps vs Base Y5)</w:t>
            </w:r>
          </w:p>
        </w:tc>
        <w:tc>
          <w:tcPr>
            <w:tcW w:type="dxa" w:w="1234"/>
          </w:tcPr>
          <w:p>
            <w:r>
              <w:t>2.0%</w:t>
            </w:r>
          </w:p>
        </w:tc>
        <w:tc>
          <w:tcPr>
            <w:tcW w:type="dxa" w:w="1234"/>
          </w:tcPr>
          <w:p>
            <w:r>
              <w:t>7.45% (WACC-1%)</w:t>
            </w:r>
          </w:p>
        </w:tc>
        <w:tc>
          <w:tcPr>
            <w:tcW w:type="dxa" w:w="1234"/>
          </w:tcPr>
          <w:p>
            <w:r>
              <w:t>75.3%</w:t>
            </w:r>
          </w:p>
        </w:tc>
        <w:tc>
          <w:tcPr>
            <w:tcW w:type="dxa" w:w="1234"/>
          </w:tcPr>
          <w:p>
            <w:r>
              <w:t>$22.03</w:t>
            </w:r>
          </w:p>
        </w:tc>
      </w:tr>
      <w:tr>
        <w:tc>
          <w:tcPr>
            <w:tcW w:type="dxa" w:w="1234"/>
          </w:tcPr>
          <w:p>
            <w:r>
              <w:t>Base</w:t>
            </w:r>
          </w:p>
        </w:tc>
        <w:tc>
          <w:tcPr>
            <w:tcW w:type="dxa" w:w="1234"/>
          </w:tcPr>
          <w:p>
            <w:r>
              <w:t>$49.3B (+5.0%/yr)</w:t>
            </w:r>
          </w:p>
        </w:tc>
        <w:tc>
          <w:tcPr>
            <w:tcW w:type="dxa" w:w="1234"/>
          </w:tcPr>
          <w:p>
            <w:r>
              <w:t>11.50%</w:t>
            </w:r>
          </w:p>
        </w:tc>
        <w:tc>
          <w:tcPr>
            <w:tcW w:type="dxa" w:w="1234"/>
          </w:tcPr>
          <w:p>
            <w:r>
              <w:t>2.5%</w:t>
            </w:r>
          </w:p>
        </w:tc>
        <w:tc>
          <w:tcPr>
            <w:tcW w:type="dxa" w:w="1234"/>
          </w:tcPr>
          <w:p>
            <w:r>
              <w:t>9.00%</w:t>
            </w:r>
          </w:p>
        </w:tc>
        <w:tc>
          <w:tcPr>
            <w:tcW w:type="dxa" w:w="1234"/>
          </w:tcPr>
          <w:p>
            <w:r>
              <w:t>81.2%</w:t>
            </w:r>
          </w:p>
        </w:tc>
        <w:tc>
          <w:tcPr>
            <w:tcW w:type="dxa" w:w="1234"/>
          </w:tcPr>
          <w:p>
            <w:r>
              <w:t>$49.13</w:t>
            </w:r>
          </w:p>
        </w:tc>
      </w:tr>
      <w:tr>
        <w:tc>
          <w:tcPr>
            <w:tcW w:type="dxa" w:w="1234"/>
          </w:tcPr>
          <w:p>
            <w:r>
              <w:t>Bull</w:t>
            </w:r>
          </w:p>
        </w:tc>
        <w:tc>
          <w:tcPr>
            <w:tcW w:type="dxa" w:w="1234"/>
          </w:tcPr>
          <w:p>
            <w:r>
              <w:t>$52.9B (+6.5%/yr)</w:t>
            </w:r>
          </w:p>
        </w:tc>
        <w:tc>
          <w:tcPr>
            <w:tcW w:type="dxa" w:w="1234"/>
          </w:tcPr>
          <w:p>
            <w:r>
              <w:t>13.50% (+200bps vs Base Y5)</w:t>
            </w:r>
          </w:p>
        </w:tc>
        <w:tc>
          <w:tcPr>
            <w:tcW w:type="dxa" w:w="1234"/>
          </w:tcPr>
          <w:p>
            <w:r>
              <w:t>3.0%</w:t>
            </w:r>
          </w:p>
        </w:tc>
        <w:tc>
          <w:tcPr>
            <w:tcW w:type="dxa" w:w="1234"/>
          </w:tcPr>
          <w:p>
            <w:r>
              <w:t>11.45% (WACC+3%)</w:t>
            </w:r>
          </w:p>
        </w:tc>
        <w:tc>
          <w:tcPr>
            <w:tcW w:type="dxa" w:w="1234"/>
          </w:tcPr>
          <w:p>
            <w:r>
              <w:t>85.9%</w:t>
            </w:r>
          </w:p>
        </w:tc>
        <w:tc>
          <w:tcPr>
            <w:tcW w:type="dxa" w:w="1234"/>
          </w:tcPr>
          <w:p>
            <w:r>
              <w:t>$78.24</w:t>
            </w:r>
          </w:p>
        </w:tc>
      </w:tr>
    </w:tbl>
    <w:p>
      <w:pPr/>
      <w:r>
        <w:t>Cross-check (Method 2, EV/EBITDA exit multiple): applying the ~9.9x average of CRH's own trailing 5-year EV/EBITDA range (6.25x-13.50x) to a Base-case Year-6 terminal EBITDA estimate of ~$10.8B produces an undiscounted terminal value of ~$107.2B, versus the Key Value Driver method's ~$70.6B for the same Base scenario -- a ~52% divergence, well above the framework's own 30% re-examination threshold. This means either the market's historically-realized multiple already embeds more durable growth/quality than a pure ROIC-fade terminal value assumes, or CRH's realized EV/EBITDA history (which includes the FY2025 peak of 13.50x, since moderated to today's 9.63x) is not a reliable steady-state anchor. Flagging this explicitly rather than picking whichever number is more convenient: the Base-case per-share figure above should be read as the more conservative, fundamentals-anchored end of a real range that could run meaningfully higher if the market continues to reward CRH with historical-average multiples rather than a pure DCF fade.</w:t>
      </w:r>
    </w:p>
    <w:p>
      <w:pPr>
        <w:pStyle w:val="Heading2"/>
      </w:pPr>
      <w:r>
        <w:t>Margin of Safety — MoS Gate</w:t>
      </w:r>
    </w:p>
    <w:p>
      <w:pPr/>
      <w:r>
        <w:t>MoS Gate: NONE. Current price ($88.93) sits above all three scenario values -- Bear $22.03, Base $49.13, and Bull $78.24. This is the harshest reading available under this framework: per Framework 4's own rule, a price above the Bull case is "priced for perfection... there is no scenario left in which the thesis is right and the stock still has room to work," regardless of the underlying business quality found in Sections 7-9. This DCF read sits in sharp tension with sell-side consensus (average 12-month target ~$138, range $105-$165, 21 buy / 0 sell ratings) -- a gap addressed directly in Section 6.</w:t>
      </w:r>
    </w:p>
    <w:p>
      <w:pPr>
        <w:pStyle w:val="Heading2"/>
      </w:pPr>
      <w:r>
        <w:t>Sensitivity — WACC x Terminal Growth (Base case revenue/margin path)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rPr>
              <w:t>WACC \ g</w:t>
            </w:r>
          </w:p>
        </w:tc>
        <w:tc>
          <w:tcPr>
            <w:tcW w:type="dxa" w:w="1728"/>
            <w:shd w:val="clear" w:color="auto" w:fill="D9D9D9"/>
          </w:tcPr>
          <w:p>
            <w:r>
              <w:rPr>
                <w:b/>
              </w:rPr>
              <w:t>1.5%</w:t>
            </w:r>
          </w:p>
        </w:tc>
        <w:tc>
          <w:tcPr>
            <w:tcW w:type="dxa" w:w="1728"/>
            <w:shd w:val="clear" w:color="auto" w:fill="D9D9D9"/>
          </w:tcPr>
          <w:p>
            <w:r>
              <w:rPr>
                <w:b/>
              </w:rPr>
              <w:t>2.0%</w:t>
            </w:r>
          </w:p>
        </w:tc>
        <w:tc>
          <w:tcPr>
            <w:tcW w:type="dxa" w:w="1728"/>
            <w:shd w:val="clear" w:color="auto" w:fill="D9D9D9"/>
          </w:tcPr>
          <w:p>
            <w:r>
              <w:rPr>
                <w:b/>
              </w:rPr>
              <w:t>2.5%</w:t>
            </w:r>
          </w:p>
        </w:tc>
        <w:tc>
          <w:tcPr>
            <w:tcW w:type="dxa" w:w="1728"/>
            <w:shd w:val="clear" w:color="auto" w:fill="D9D9D9"/>
          </w:tcPr>
          <w:p>
            <w:r>
              <w:rPr>
                <w:b/>
              </w:rPr>
              <w:t>3.0%</w:t>
            </w:r>
          </w:p>
        </w:tc>
      </w:tr>
      <w:tr>
        <w:tc>
          <w:tcPr>
            <w:tcW w:type="dxa" w:w="1728"/>
          </w:tcPr>
          <w:p>
            <w:r>
              <w:t>7.5%</w:t>
            </w:r>
          </w:p>
        </w:tc>
        <w:tc>
          <w:tcPr>
            <w:tcW w:type="dxa" w:w="1728"/>
          </w:tcPr>
          <w:p>
            <w:r>
              <w:t>$56.84</w:t>
            </w:r>
          </w:p>
        </w:tc>
        <w:tc>
          <w:tcPr>
            <w:tcW w:type="dxa" w:w="1728"/>
          </w:tcPr>
          <w:p>
            <w:r>
              <w:t>$61.90</w:t>
            </w:r>
          </w:p>
        </w:tc>
        <w:tc>
          <w:tcPr>
            <w:tcW w:type="dxa" w:w="1728"/>
          </w:tcPr>
          <w:p>
            <w:r>
              <w:t>$68.07</w:t>
            </w:r>
          </w:p>
        </w:tc>
        <w:tc>
          <w:tcPr>
            <w:tcW w:type="dxa" w:w="1728"/>
          </w:tcPr>
          <w:p>
            <w:r>
              <w:t>$75.81</w:t>
            </w:r>
          </w:p>
        </w:tc>
      </w:tr>
      <w:tr>
        <w:tc>
          <w:tcPr>
            <w:tcW w:type="dxa" w:w="1728"/>
          </w:tcPr>
          <w:p>
            <w:r>
              <w:t>8.0%</w:t>
            </w:r>
          </w:p>
        </w:tc>
        <w:tc>
          <w:tcPr>
            <w:tcW w:type="dxa" w:w="1728"/>
          </w:tcPr>
          <w:p>
            <w:r>
              <w:t>$51.22</w:t>
            </w:r>
          </w:p>
        </w:tc>
        <w:tc>
          <w:tcPr>
            <w:tcW w:type="dxa" w:w="1728"/>
          </w:tcPr>
          <w:p>
            <w:r>
              <w:t>$55.36</w:t>
            </w:r>
          </w:p>
        </w:tc>
        <w:tc>
          <w:tcPr>
            <w:tcW w:type="dxa" w:w="1728"/>
          </w:tcPr>
          <w:p>
            <w:r>
              <w:t>$60.29</w:t>
            </w:r>
          </w:p>
        </w:tc>
        <w:tc>
          <w:tcPr>
            <w:tcW w:type="dxa" w:w="1728"/>
          </w:tcPr>
          <w:p>
            <w:r>
              <w:t>$66.28</w:t>
            </w:r>
          </w:p>
        </w:tc>
      </w:tr>
      <w:tr>
        <w:tc>
          <w:tcPr>
            <w:tcW w:type="dxa" w:w="1728"/>
          </w:tcPr>
          <w:p>
            <w:r>
              <w:t>8.45%</w:t>
            </w:r>
          </w:p>
        </w:tc>
        <w:tc>
          <w:tcPr>
            <w:tcW w:type="dxa" w:w="1728"/>
          </w:tcPr>
          <w:p>
            <w:r>
              <w:t>$46.87</w:t>
            </w:r>
          </w:p>
        </w:tc>
        <w:tc>
          <w:tcPr>
            <w:tcW w:type="dxa" w:w="1728"/>
          </w:tcPr>
          <w:p>
            <w:r>
              <w:t>$50.32</w:t>
            </w:r>
          </w:p>
        </w:tc>
        <w:tc>
          <w:tcPr>
            <w:tcW w:type="dxa" w:w="1728"/>
          </w:tcPr>
          <w:p>
            <w:r>
              <w:t>$54.38</w:t>
            </w:r>
          </w:p>
        </w:tc>
        <w:tc>
          <w:tcPr>
            <w:tcW w:type="dxa" w:w="1728"/>
          </w:tcPr>
          <w:p>
            <w:r>
              <w:t>$59.24</w:t>
            </w:r>
          </w:p>
        </w:tc>
      </w:tr>
      <w:tr>
        <w:tc>
          <w:tcPr>
            <w:tcW w:type="dxa" w:w="1728"/>
          </w:tcPr>
          <w:p>
            <w:r>
              <w:t>9.0%</w:t>
            </w:r>
          </w:p>
        </w:tc>
        <w:tc>
          <w:tcPr>
            <w:tcW w:type="dxa" w:w="1728"/>
          </w:tcPr>
          <w:p>
            <w:r>
              <w:t>$42.19</w:t>
            </w:r>
          </w:p>
        </w:tc>
        <w:tc>
          <w:tcPr>
            <w:tcW w:type="dxa" w:w="1728"/>
          </w:tcPr>
          <w:p>
            <w:r>
              <w:t>$44.99</w:t>
            </w:r>
          </w:p>
        </w:tc>
        <w:tc>
          <w:tcPr>
            <w:tcW w:type="dxa" w:w="1728"/>
          </w:tcPr>
          <w:p>
            <w:r>
              <w:t>$48.22</w:t>
            </w:r>
          </w:p>
        </w:tc>
        <w:tc>
          <w:tcPr>
            <w:tcW w:type="dxa" w:w="1728"/>
          </w:tcPr>
          <w:p>
            <w:r>
              <w:t>$52.00</w:t>
            </w:r>
          </w:p>
        </w:tc>
      </w:tr>
      <w:tr>
        <w:tc>
          <w:tcPr>
            <w:tcW w:type="dxa" w:w="1728"/>
          </w:tcPr>
          <w:p>
            <w:r>
              <w:t>9.5%</w:t>
            </w:r>
          </w:p>
        </w:tc>
        <w:tc>
          <w:tcPr>
            <w:tcW w:type="dxa" w:w="1728"/>
          </w:tcPr>
          <w:p>
            <w:r>
              <w:t>$38.63</w:t>
            </w:r>
          </w:p>
        </w:tc>
        <w:tc>
          <w:tcPr>
            <w:tcW w:type="dxa" w:w="1728"/>
          </w:tcPr>
          <w:p>
            <w:r>
              <w:t>$41.02</w:t>
            </w:r>
          </w:p>
        </w:tc>
        <w:tc>
          <w:tcPr>
            <w:tcW w:type="dxa" w:w="1728"/>
          </w:tcPr>
          <w:p>
            <w:r>
              <w:t>$43.72</w:t>
            </w:r>
          </w:p>
        </w:tc>
        <w:tc>
          <w:tcPr>
            <w:tcW w:type="dxa" w:w="1728"/>
          </w:tcPr>
          <w:p>
            <w:r>
              <w:t>$46.80</w:t>
            </w:r>
          </w:p>
        </w:tc>
      </w:tr>
    </w:tbl>
    <w:p>
      <w:pPr/>
      <w:r>
        <w:t>Even at the most generous corner of this table (WACC 7.5%, g 3.0%) -- a full percentage point below this report's own computed WACC -- Base-path value reaches only $75.81, still short of the current $88.93 price. Note: the $54.38 cell (WACC 8.45%, g 2.5%) differs slightly from the $49.13 headline Base value above because the headline figure uses the Base scenario's own Terminal ROIC (9.00%) rather than holding ROIC fixed while only WACC/g move in this grid -- both are internally consistent within their own stated assumptions; the grid isolates WACC/g sensitivity holding terminal ROIC at Base, the headline table's Bear/Bull rows also vary terminal ROIC per scenario.</w:t>
      </w:r>
    </w:p>
    <w:p>
      <w:pPr>
        <w:pStyle w:val="Heading2"/>
      </w:pPr>
      <w:r>
        <w:t>Sensitivity — Year-5 Revenue x Year-5 NOPLAT Margin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Rev \ Margin</w:t>
            </w:r>
          </w:p>
        </w:tc>
        <w:tc>
          <w:tcPr>
            <w:tcW w:type="dxa" w:w="1440"/>
            <w:shd w:val="clear" w:color="auto" w:fill="D9D9D9"/>
          </w:tcPr>
          <w:p>
            <w:r>
              <w:rPr>
                <w:b/>
              </w:rPr>
              <w:t>9.5%</w:t>
            </w:r>
          </w:p>
        </w:tc>
        <w:tc>
          <w:tcPr>
            <w:tcW w:type="dxa" w:w="1440"/>
            <w:shd w:val="clear" w:color="auto" w:fill="D9D9D9"/>
          </w:tcPr>
          <w:p>
            <w:r>
              <w:rPr>
                <w:b/>
              </w:rPr>
              <w:t>10.5%</w:t>
            </w:r>
          </w:p>
        </w:tc>
        <w:tc>
          <w:tcPr>
            <w:tcW w:type="dxa" w:w="1440"/>
            <w:shd w:val="clear" w:color="auto" w:fill="D9D9D9"/>
          </w:tcPr>
          <w:p>
            <w:r>
              <w:rPr>
                <w:b/>
              </w:rPr>
              <w:t>11.5%</w:t>
            </w:r>
          </w:p>
        </w:tc>
        <w:tc>
          <w:tcPr>
            <w:tcW w:type="dxa" w:w="1440"/>
            <w:shd w:val="clear" w:color="auto" w:fill="D9D9D9"/>
          </w:tcPr>
          <w:p>
            <w:r>
              <w:rPr>
                <w:b/>
              </w:rPr>
              <w:t>12.5%</w:t>
            </w:r>
          </w:p>
        </w:tc>
        <w:tc>
          <w:tcPr>
            <w:tcW w:type="dxa" w:w="1440"/>
            <w:shd w:val="clear" w:color="auto" w:fill="D9D9D9"/>
          </w:tcPr>
          <w:p>
            <w:r>
              <w:rPr>
                <w:b/>
              </w:rPr>
              <w:t>13.5%</w:t>
            </w:r>
          </w:p>
        </w:tc>
      </w:tr>
      <w:tr>
        <w:tc>
          <w:tcPr>
            <w:tcW w:type="dxa" w:w="1440"/>
          </w:tcPr>
          <w:p>
            <w:r>
              <w:t>$44B</w:t>
            </w:r>
          </w:p>
        </w:tc>
        <w:tc>
          <w:tcPr>
            <w:tcW w:type="dxa" w:w="1440"/>
          </w:tcPr>
          <w:p>
            <w:r>
              <w:t>$32.10</w:t>
            </w:r>
          </w:p>
        </w:tc>
        <w:tc>
          <w:tcPr>
            <w:tcW w:type="dxa" w:w="1440"/>
          </w:tcPr>
          <w:p>
            <w:r>
              <w:t>$39.84</w:t>
            </w:r>
          </w:p>
        </w:tc>
        <w:tc>
          <w:tcPr>
            <w:tcW w:type="dxa" w:w="1440"/>
          </w:tcPr>
          <w:p>
            <w:r>
              <w:t>$47.58</w:t>
            </w:r>
          </w:p>
        </w:tc>
        <w:tc>
          <w:tcPr>
            <w:tcW w:type="dxa" w:w="1440"/>
          </w:tcPr>
          <w:p>
            <w:r>
              <w:t>$55.32</w:t>
            </w:r>
          </w:p>
        </w:tc>
        <w:tc>
          <w:tcPr>
            <w:tcW w:type="dxa" w:w="1440"/>
          </w:tcPr>
          <w:p>
            <w:r>
              <w:t>$63.06</w:t>
            </w:r>
          </w:p>
        </w:tc>
      </w:tr>
      <w:tr>
        <w:tc>
          <w:tcPr>
            <w:tcW w:type="dxa" w:w="1440"/>
          </w:tcPr>
          <w:p>
            <w:r>
              <w:t>$47B</w:t>
            </w:r>
          </w:p>
        </w:tc>
        <w:tc>
          <w:tcPr>
            <w:tcW w:type="dxa" w:w="1440"/>
          </w:tcPr>
          <w:p>
            <w:r>
              <w:t>$34.94</w:t>
            </w:r>
          </w:p>
        </w:tc>
        <w:tc>
          <w:tcPr>
            <w:tcW w:type="dxa" w:w="1440"/>
          </w:tcPr>
          <w:p>
            <w:r>
              <w:t>$43.29</w:t>
            </w:r>
          </w:p>
        </w:tc>
        <w:tc>
          <w:tcPr>
            <w:tcW w:type="dxa" w:w="1440"/>
          </w:tcPr>
          <w:p>
            <w:r>
              <w:t>$51.64</w:t>
            </w:r>
          </w:p>
        </w:tc>
        <w:tc>
          <w:tcPr>
            <w:tcW w:type="dxa" w:w="1440"/>
          </w:tcPr>
          <w:p>
            <w:r>
              <w:t>$59.99</w:t>
            </w:r>
          </w:p>
        </w:tc>
        <w:tc>
          <w:tcPr>
            <w:tcW w:type="dxa" w:w="1440"/>
          </w:tcPr>
          <w:p>
            <w:r>
              <w:t>$68.34</w:t>
            </w:r>
          </w:p>
        </w:tc>
      </w:tr>
      <w:tr>
        <w:tc>
          <w:tcPr>
            <w:tcW w:type="dxa" w:w="1440"/>
          </w:tcPr>
          <w:p>
            <w:r>
              <w:t>$49B</w:t>
            </w:r>
          </w:p>
        </w:tc>
        <w:tc>
          <w:tcPr>
            <w:tcW w:type="dxa" w:w="1440"/>
          </w:tcPr>
          <w:p>
            <w:r>
              <w:t>$36.85</w:t>
            </w:r>
          </w:p>
        </w:tc>
        <w:tc>
          <w:tcPr>
            <w:tcW w:type="dxa" w:w="1440"/>
          </w:tcPr>
          <w:p>
            <w:r>
              <w:t>$45.62</w:t>
            </w:r>
          </w:p>
        </w:tc>
        <w:tc>
          <w:tcPr>
            <w:tcW w:type="dxa" w:w="1440"/>
          </w:tcPr>
          <w:p>
            <w:r>
              <w:t>$54.39</w:t>
            </w:r>
          </w:p>
        </w:tc>
        <w:tc>
          <w:tcPr>
            <w:tcW w:type="dxa" w:w="1440"/>
          </w:tcPr>
          <w:p>
            <w:r>
              <w:t>$63.16</w:t>
            </w:r>
          </w:p>
        </w:tc>
        <w:tc>
          <w:tcPr>
            <w:tcW w:type="dxa" w:w="1440"/>
          </w:tcPr>
          <w:p>
            <w:r>
              <w:t>$71.93</w:t>
            </w:r>
          </w:p>
        </w:tc>
      </w:tr>
      <w:tr>
        <w:tc>
          <w:tcPr>
            <w:tcW w:type="dxa" w:w="1440"/>
          </w:tcPr>
          <w:p>
            <w:r>
              <w:t>$52B</w:t>
            </w:r>
          </w:p>
        </w:tc>
        <w:tc>
          <w:tcPr>
            <w:tcW w:type="dxa" w:w="1440"/>
          </w:tcPr>
          <w:p>
            <w:r>
              <w:t>$39.68</w:t>
            </w:r>
          </w:p>
        </w:tc>
        <w:tc>
          <w:tcPr>
            <w:tcW w:type="dxa" w:w="1440"/>
          </w:tcPr>
          <w:p>
            <w:r>
              <w:t>$49.10</w:t>
            </w:r>
          </w:p>
        </w:tc>
        <w:tc>
          <w:tcPr>
            <w:tcW w:type="dxa" w:w="1440"/>
          </w:tcPr>
          <w:p>
            <w:r>
              <w:t>$58.52</w:t>
            </w:r>
          </w:p>
        </w:tc>
        <w:tc>
          <w:tcPr>
            <w:tcW w:type="dxa" w:w="1440"/>
          </w:tcPr>
          <w:p>
            <w:r>
              <w:t>$67.94</w:t>
            </w:r>
          </w:p>
        </w:tc>
        <w:tc>
          <w:tcPr>
            <w:tcW w:type="dxa" w:w="1440"/>
          </w:tcPr>
          <w:p>
            <w:r>
              <w:t>$77.36</w:t>
            </w:r>
          </w:p>
        </w:tc>
      </w:tr>
      <w:tr>
        <w:tc>
          <w:tcPr>
            <w:tcW w:type="dxa" w:w="1440"/>
          </w:tcPr>
          <w:p>
            <w:r>
              <w:t>$55B</w:t>
            </w:r>
          </w:p>
        </w:tc>
        <w:tc>
          <w:tcPr>
            <w:tcW w:type="dxa" w:w="1440"/>
          </w:tcPr>
          <w:p>
            <w:r>
              <w:t>$42.52</w:t>
            </w:r>
          </w:p>
        </w:tc>
        <w:tc>
          <w:tcPr>
            <w:tcW w:type="dxa" w:w="1440"/>
          </w:tcPr>
          <w:p>
            <w:r>
              <w:t>$52.58</w:t>
            </w:r>
          </w:p>
        </w:tc>
        <w:tc>
          <w:tcPr>
            <w:tcW w:type="dxa" w:w="1440"/>
          </w:tcPr>
          <w:p>
            <w:r>
              <w:t>$62.64</w:t>
            </w:r>
          </w:p>
        </w:tc>
        <w:tc>
          <w:tcPr>
            <w:tcW w:type="dxa" w:w="1440"/>
          </w:tcPr>
          <w:p>
            <w:r>
              <w:t>$72.70</w:t>
            </w:r>
          </w:p>
        </w:tc>
        <w:tc>
          <w:tcPr>
            <w:tcW w:type="dxa" w:w="1440"/>
          </w:tcPr>
          <w:p>
            <w:r>
              <w:t>$82.76</w:t>
            </w:r>
          </w:p>
        </w:tc>
      </w:tr>
    </w:tbl>
    <w:p>
      <w:pPr/>
      <w:r>
        <w:t>To clear $88.93 within this grid requires roughly $55B of Year-5 revenue (+42% above TTM, i.e. a sustained ~7.4%/yr growth rate well above the Bull case's 6.5%) AND a 13.5%+ NOPLAT margin (the Bull-case ceiling used in this report) simultaneously -- both the growth and the margin corner of the Bull scenario at once, not either alone. That combined requirement is exactly what Section 6's Mauboussin read below quantifies directly.</w:t>
      </w:r>
    </w:p>
    <w:p>
      <w:pPr>
        <w:pStyle w:val="Heading1"/>
      </w:pPr>
      <w:r>
        <w:t>6. Mauboussin — Price-Implied Expectations</w:t>
      </w:r>
    </w:p>
    <w:p>
      <w:pPr/>
      <w:r>
        <w:t>Holding revenue growth at the Base-case path (5%/yr, reaching $49.3B by Year 5), solving for the Year-5 NOPLAT margin that reconciles the DCF to today's $88.93 price (implied equity value ~$59.2B, EV ~$84.5B on pro-forma net debt) requires a NOPLAT margin of roughly 16.5%-16.7% by Year 5 -- equivalent to an EBIT margin near 21.5%-22% (at the 24% guided tax rate). That is a margin-expansion ask of roughly 750-850bps in EBIT-margin terms from the TTM base of 14.13%.</w:t>
      </w:r>
    </w:p>
    <w:p>
      <w:pPr/>
      <w:r>
        <w:t>Base-rate check: CRH's own realized EBIT margin expansion over the last five years (2021-TTM) was 11.34% to 14.13%, i.e. ~280bps over roughly 4.5 years, or an average pace of ~60-65bps/year. The price-implied path above requires that pace to run at roughly double its own historical rate, sustained for five consecutive years, with no single disclosed catalyst (Arcosa integration synergies, portfolio mix-shift toward Building &amp; Infrastructure Solutions, or performance-improvement initiatives cited on the Q2 call) sized publicly at a magnitude that would close this gap on its own. Per this framework's own flagging rule ("implied growth/margin path exceeding the historical base rate by 1.5x+" is a caution, "2x+" is priced for perfection), this sits at or beyond the 2x threshold on the margin dimension specifically.</w:t>
      </w:r>
    </w:p>
    <w:p>
      <w:pPr/>
      <w:r>
        <w:t>Run at a second WACC/beta assumption for robustness: if beta is instead taken at 1.0 (a more "mature industrials" assumption than CRH's actual 1.20), Re falls to 9.52%, WACC falls to roughly 7.8%, and the Base-case per-share value rises to approximately $58-60 -- still well short of $88.93, confirming the conclusion is not an artifact of a single, unusually punitive beta input.</w:t>
      </w:r>
    </w:p>
    <w:p>
      <w:pPr/>
      <w:r>
        <w:t>Moat type and Competitive Advantage Period (CAP): CRH's strongest moat element is a cost-advantage / efficient-scale combination in aggregates specifically -- quarry permitting is difficult and slow near demand centers, giving incumbent, already-permitted operators (now including Arcosa's assets) a structural local-supply advantage that is genuinely durable (Narrow-to-Wide moat, CAP roughly 7-10 years) for that specific business line. This moat is markedly weaker in the more commoditized cement and ready-mix lines, and largely absent in the building-products/outdoor-living lines, which compete more on brand and distribution than on structural scarcity. Blended across the group, CRH sits at a Narrow moat, CAP-of-roughly-5-7-years read -- already earned in the aggregates franchise specifically, not conditional on a future milestone, but diluted at the consolidated level by the less-differentiated segments.</w:t>
      </w:r>
    </w:p>
    <w:p>
      <w:pPr>
        <w:pStyle w:val="Heading1"/>
      </w:pPr>
      <w:r>
        <w:t>7. Fisher — Qualitative Checklist</w:t>
      </w:r>
    </w:p>
    <w:p>
      <w:pPr>
        <w:pStyle w:val="ListBullet"/>
      </w:pPr>
      <w:r>
        <w:t>#5/#6 (margins, and what management is doing about them): EBIT margin has expanded essentially every year since 2021 (11.34% -&gt; 11.70% -&gt; 12.85% -&gt; 13.86% -&gt; 14.27% -&gt; 14.13% TTM, a very slight tick down from the FY2025 peak). Management explicitly attributes recent margin gains to "disciplined commercial execution" and "performance improvement initiatives" on the Q2 2026 call -- a real, named program, not a passive cyclical tailwind alone. Positive.</w:t>
      </w:r>
    </w:p>
    <w:p>
      <w:pPr>
        <w:pStyle w:val="ListBullet"/>
      </w:pPr>
      <w:r>
        <w:t>#11 (competitive edge): genuine structural edge in aggregates via permitting scarcity and now the largest combined US aggregates production base (&gt;265 million tons annualized post-Arcosa) -- see Section 6's moat discussion. This edge is real but concentrated in one business line, not group-wide.</w:t>
      </w:r>
    </w:p>
    <w:p>
      <w:pPr>
        <w:pStyle w:val="ListBullet"/>
      </w:pPr>
      <w:r>
        <w:t>#13 (equity-financing dilution risk): not triggered in the classic Fisher sense -- shares outstanding have stayed roughly flat while $8.86B of net debt growth (pre-Arcosa) funded expansion. The related but distinct risk this creates -- leverage, not dilution -- is carried in Sections 4 and 9 rather than scored here.</w:t>
      </w:r>
    </w:p>
    <w:p>
      <w:pPr>
        <w:pStyle w:val="ListBullet"/>
      </w:pPr>
      <w:r>
        <w:t>#15 (management integrity / disclosure in good times and bad): insiders were net buyers over the trailing year, including two director purchases in March 2026, and management reaffirmed (rather than obscured or withdrew) full-year guidance on the Q2 call even as the stock sold off afterward on capital-allocation concerns -- no evasiveness detected in the sources reviewed this session. Positive, though a single quarter of transparent reaffirmation during a downturn is a thinner evidence base than a full down-cycle track record.</w:t>
      </w:r>
    </w:p>
    <w:p>
      <w:pPr>
        <w:pStyle w:val="Heading1"/>
      </w:pPr>
      <w:r>
        <w:t>8. Ilmanen — Factor Read</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Factor</w:t>
            </w:r>
          </w:p>
        </w:tc>
        <w:tc>
          <w:tcPr>
            <w:tcW w:type="dxa" w:w="4320"/>
            <w:shd w:val="clear" w:color="auto" w:fill="D9D9D9"/>
          </w:tcPr>
          <w:p>
            <w:r>
              <w:rPr>
                <w:b/>
              </w:rPr>
              <w:t>Read</w:t>
            </w:r>
          </w:p>
        </w:tc>
      </w:tr>
      <w:tr>
        <w:tc>
          <w:tcPr>
            <w:tcW w:type="dxa" w:w="4320"/>
          </w:tcPr>
          <w:p>
            <w:r>
              <w:t>Value</w:t>
            </w:r>
          </w:p>
        </w:tc>
        <w:tc>
          <w:tcPr>
            <w:tcW w:type="dxa" w:w="4320"/>
          </w:tcPr>
          <w:p>
            <w:r>
              <w:t>MIXED -- current P/E 15.28x sits at/slightly below its own 6-year average (~15.6x across 2021-current prints), i.e. statistically cheap on a trailing-relative basis; but Section 5's absolute DCF finds price above even the Bull scenario. Flagging the conflict explicitly rather than averaging it away, per Ilmanen's own value-trap rule: cheap-on-relative-multiple + a DCF that says overvalued-on-fundamentals is exactly the profile of a name where the historical multiple range may itself be miscalibrated to a lower-rate era, not a reliable cheapness signal today.</w:t>
            </w:r>
          </w:p>
        </w:tc>
      </w:tr>
      <w:tr>
        <w:tc>
          <w:tcPr>
            <w:tcW w:type="dxa" w:w="4320"/>
          </w:tcPr>
          <w:p>
            <w:r>
              <w:t>Quality/Profitability</w:t>
            </w:r>
          </w:p>
        </w:tc>
        <w:tc>
          <w:tcPr>
            <w:tcW w:type="dxa" w:w="4320"/>
          </w:tcPr>
          <w:p>
            <w:r>
              <w:t>PRESENT but leverage-assisted -- ROE improved from 12.15% (2021) to 15.81% (current), but Debt/Equity rose from 0.58 to 0.78 over the same period (before the Arcosa-driven step-up still to be reflected), and FCF conversion (FCF/NI, TTM) is 72.5%, below the Quality Compounder screen's 80% pass bar (Section 9). Real operating-margin improvement exists alongside the leverage effect (see Section 4), so this is not pure financial engineering, but it is not clean either.</w:t>
            </w:r>
          </w:p>
        </w:tc>
      </w:tr>
      <w:tr>
        <w:tc>
          <w:tcPr>
            <w:tcW w:type="dxa" w:w="4320"/>
          </w:tcPr>
          <w:p>
            <w:r>
              <w:t>Momentum</w:t>
            </w:r>
          </w:p>
        </w:tc>
        <w:tc>
          <w:tcPr>
            <w:tcW w:type="dxa" w:w="4320"/>
          </w:tcPr>
          <w:p>
            <w:r>
              <w:t>ABSENT -- shares are down 23.67% YTD and sit at/near a 52-week low, below both short- and long-term moving averages per the September 2026 news flow. No price-momentum tailwind of any kind currently.</w:t>
            </w:r>
          </w:p>
        </w:tc>
      </w:tr>
      <w:tr>
        <w:tc>
          <w:tcPr>
            <w:tcW w:type="dxa" w:w="4320"/>
          </w:tcPr>
          <w:p>
            <w:r>
              <w:t>Low Beta/Defensive</w:t>
            </w:r>
          </w:p>
        </w:tc>
        <w:tc>
          <w:tcPr>
            <w:tcW w:type="dxa" w:w="4320"/>
          </w:tcPr>
          <w:p>
            <w:r>
              <w:t>ABSENT -- beta 1.20, above market average; CRH is not a defensive, low-volatility holding.</w:t>
            </w:r>
          </w:p>
        </w:tc>
      </w:tr>
    </w:tbl>
    <w:p>
      <w:pPr/>
      <w:r>
        <w:t>Combined signal: no overlapping factor tailwind. Value is genuinely ambiguous (cheap on trailing multiple, expensive on DCF) rather than a clean positive, Quality is real-but-leverage-diluted, and both Momentum and Low-Beta are flatly absent. Per Ilmanen's own framework, a name with no confirmed overlapping tailwind and one internally conflicted factor carries a materially higher single-factor-bet risk profile than the framework's ideal cheap+quality+momentum overlap case -- stating plainly, as the framework requires, that there is no supporting tailwind combination here today.</w:t>
      </w:r>
    </w:p>
    <w:p>
      <w:pPr>
        <w:pStyle w:val="Heading1"/>
      </w:pPr>
      <w:r>
        <w:t>9. Quality Compounder Screen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Criterion</w:t>
            </w:r>
          </w:p>
        </w:tc>
        <w:tc>
          <w:tcPr>
            <w:tcW w:type="dxa" w:w="2880"/>
            <w:shd w:val="clear" w:color="auto" w:fill="D9D9D9"/>
          </w:tcPr>
          <w:p>
            <w:r>
              <w:rPr>
                <w:b/>
              </w:rPr>
              <w:t>Pass/Flag</w:t>
            </w:r>
          </w:p>
        </w:tc>
        <w:tc>
          <w:tcPr>
            <w:tcW w:type="dxa" w:w="2880"/>
            <w:shd w:val="clear" w:color="auto" w:fill="D9D9D9"/>
          </w:tcPr>
          <w:p>
            <w:r>
              <w:rPr>
                <w:b/>
              </w:rPr>
              <w:t>Evidence</w:t>
            </w:r>
          </w:p>
        </w:tc>
      </w:tr>
      <w:tr>
        <w:tc>
          <w:tcPr>
            <w:tcW w:type="dxa" w:w="2880"/>
          </w:tcPr>
          <w:p>
            <w:r>
              <w:t>ROIC 5-yr average &gt; 15%</w:t>
            </w:r>
          </w:p>
        </w:tc>
        <w:tc>
          <w:tcPr>
            <w:tcW w:type="dxa" w:w="2880"/>
          </w:tcPr>
          <w:p>
            <w:r>
              <w:t>FLAG</w:t>
            </w:r>
          </w:p>
        </w:tc>
        <w:tc>
          <w:tcPr>
            <w:tcW w:type="dxa" w:w="2880"/>
          </w:tcPr>
          <w:p>
            <w:r>
              <w:t>TTM ROIC ~10.2%; given EBIT margin was materially lower in 2021-2022 (11.34%-11.70% vs TTM 14.13%), the trailing 5-yr average ROIC sits meaningfully below even today's already-modest 10.2%, well short of the 15% pass bar.</w:t>
            </w:r>
          </w:p>
        </w:tc>
      </w:tr>
      <w:tr>
        <w:tc>
          <w:tcPr>
            <w:tcW w:type="dxa" w:w="2880"/>
          </w:tcPr>
          <w:p>
            <w:r>
              <w:t>ROIC trend stable/improving</w:t>
            </w:r>
          </w:p>
        </w:tc>
        <w:tc>
          <w:tcPr>
            <w:tcW w:type="dxa" w:w="2880"/>
          </w:tcPr>
          <w:p>
            <w:r>
              <w:t>PASS</w:t>
            </w:r>
          </w:p>
        </w:tc>
        <w:tc>
          <w:tcPr>
            <w:tcW w:type="dxa" w:w="2880"/>
          </w:tcPr>
          <w:p>
            <w:r>
              <w:t>EBIT margin (the main driver of NOPLAT/ROIC here) rose every year from 11.34% (2021) to 14.27% (2025); TTM's 14.13% is a very slight tick down from the FY2025 peak but the multi-year trend is clearly improving, not declining.</w:t>
            </w:r>
          </w:p>
        </w:tc>
      </w:tr>
      <w:tr>
        <w:tc>
          <w:tcPr>
            <w:tcW w:type="dxa" w:w="2880"/>
          </w:tcPr>
          <w:p>
            <w:r>
              <w:t>Operating margin &gt; 15%</w:t>
            </w:r>
          </w:p>
        </w:tc>
        <w:tc>
          <w:tcPr>
            <w:tcW w:type="dxa" w:w="2880"/>
          </w:tcPr>
          <w:p>
            <w:r>
              <w:t>FLAG</w:t>
            </w:r>
          </w:p>
        </w:tc>
        <w:tc>
          <w:tcPr>
            <w:tcW w:type="dxa" w:w="2880"/>
          </w:tcPr>
          <w:p>
            <w:r>
              <w:t>TTM EBIT margin 14.13%, FY2025 14.27% -- both just under the 15% pass threshold, though closing in on it.</w:t>
            </w:r>
          </w:p>
        </w:tc>
      </w:tr>
      <w:tr>
        <w:tc>
          <w:tcPr>
            <w:tcW w:type="dxa" w:w="2880"/>
          </w:tcPr>
          <w:p>
            <w:r>
              <w:t>FCF conversion (FCF/Net Income) &gt; 80%</w:t>
            </w:r>
          </w:p>
        </w:tc>
        <w:tc>
          <w:tcPr>
            <w:tcW w:type="dxa" w:w="2880"/>
          </w:tcPr>
          <w:p>
            <w:r>
              <w:t>FLAG</w:t>
            </w:r>
          </w:p>
        </w:tc>
        <w:tc>
          <w:tcPr>
            <w:tcW w:type="dxa" w:w="2880"/>
          </w:tcPr>
          <w:p>
            <w:r>
              <w:t>TTM FCF $2,766M / TTM Net Income $3,814M = 72.5%, below the 80% bar; FY2023 was the strongest recent year at 3,200/3,154 = ~101%, showing this metric is volatile year to year, not structurally weak, but the current trailing read fails the bar.</w:t>
            </w:r>
          </w:p>
        </w:tc>
      </w:tr>
      <w:tr>
        <w:tc>
          <w:tcPr>
            <w:tcW w:type="dxa" w:w="2880"/>
          </w:tcPr>
          <w:p>
            <w:r>
              <w:t>CapEx intensity (CapEx/Revenue) &lt; 10%</w:t>
            </w:r>
          </w:p>
        </w:tc>
        <w:tc>
          <w:tcPr>
            <w:tcW w:type="dxa" w:w="2880"/>
          </w:tcPr>
          <w:p>
            <w:r>
              <w:t>PASS</w:t>
            </w:r>
          </w:p>
        </w:tc>
        <w:tc>
          <w:tcPr>
            <w:tcW w:type="dxa" w:w="2880"/>
          </w:tcPr>
          <w:p>
            <w:r>
              <w:t>TTM CapEx $2,653M / Revenue $38,632M = 6.87%.</w:t>
            </w:r>
          </w:p>
        </w:tc>
      </w:tr>
      <w:tr>
        <w:tc>
          <w:tcPr>
            <w:tcW w:type="dxa" w:w="2880"/>
          </w:tcPr>
          <w:p>
            <w:r>
              <w:t>Revenue growth self-funded (no dilutive equity issuance)</w:t>
            </w:r>
          </w:p>
        </w:tc>
        <w:tc>
          <w:tcPr>
            <w:tcW w:type="dxa" w:w="2880"/>
          </w:tcPr>
          <w:p>
            <w:r>
              <w:t>PASS</w:t>
            </w:r>
          </w:p>
        </w:tc>
        <w:tc>
          <w:tcPr>
            <w:tcW w:type="dxa" w:w="2880"/>
          </w:tcPr>
          <w:p>
            <w:r>
              <w:t>Shares outstanding roughly flat while total debt grew from $10,955M (FY2022) to $19,813M (TTM, pre-Arcosa) -- growth funded by debt and internal cash flow, not equity issuance.</w:t>
            </w:r>
          </w:p>
        </w:tc>
      </w:tr>
      <w:tr>
        <w:tc>
          <w:tcPr>
            <w:tcW w:type="dxa" w:w="2880"/>
          </w:tcPr>
          <w:p>
            <w:r>
              <w:t>Management equity ownership (&gt;3% founders / &gt;0.5% professional CEOs)</w:t>
            </w:r>
          </w:p>
        </w:tc>
        <w:tc>
          <w:tcPr>
            <w:tcW w:type="dxa" w:w="2880"/>
          </w:tcPr>
          <w:p>
            <w:r>
              <w:t>N/A -- NO DATA</w:t>
            </w:r>
          </w:p>
        </w:tc>
        <w:tc>
          <w:tcPr>
            <w:tcW w:type="dxa" w:w="2880"/>
          </w:tcPr>
          <w:p>
            <w:r>
              <w:t>Current insider/management ownership percentage was not sourced this session; skipped per the framework's own rule rather than imputed.</w:t>
            </w:r>
          </w:p>
        </w:tc>
      </w:tr>
      <w:tr>
        <w:tc>
          <w:tcPr>
            <w:tcW w:type="dxa" w:w="2880"/>
          </w:tcPr>
          <w:p>
            <w:r>
              <w:t>Buyback discipline (at or below intrinsic value)</w:t>
            </w:r>
          </w:p>
        </w:tc>
        <w:tc>
          <w:tcPr>
            <w:tcW w:type="dxa" w:w="2880"/>
          </w:tcPr>
          <w:p>
            <w:r>
              <w:t>PASS</w:t>
            </w:r>
          </w:p>
        </w:tc>
        <w:tc>
          <w:tcPr>
            <w:tcW w:type="dxa" w:w="2880"/>
          </w:tcPr>
          <w:p>
            <w:r>
              <w:t>Reporting explicitly notes management "aggressively buying back shares" during the September 2026 price decline to 52-week lows -- buying into weakness, consistent with the discipline criterion, though this session did not source the exact buyback $ volume or average execution price.</w:t>
            </w:r>
          </w:p>
        </w:tc>
      </w:tr>
      <w:tr>
        <w:tc>
          <w:tcPr>
            <w:tcW w:type="dxa" w:w="2880"/>
          </w:tcPr>
          <w:p>
            <w:r>
              <w:t>M&amp;A discipline (bolt-on/strategic at sensible prices, no goodwill blowups)</w:t>
            </w:r>
          </w:p>
        </w:tc>
        <w:tc>
          <w:tcPr>
            <w:tcW w:type="dxa" w:w="2880"/>
          </w:tcPr>
          <w:p>
            <w:r>
              <w:t>FLAG</w:t>
            </w:r>
          </w:p>
        </w:tc>
        <w:tc>
          <w:tcPr>
            <w:tcW w:type="dxa" w:w="2880"/>
          </w:tcPr>
          <w:p>
            <w:r>
              <w:t>The Arcosa deal ($8.5B, EV/EBITDA 11.5x on 2026 guidance) is not an obviously overpaid multiple, but at 8.5B it is a scale departure from CRH's own stated bolt-on playbook (H1 2025: 13 deals for $0.7B combined; Q1 2026: 5 deals for $0.1B combined) -- a single transaction larger than roughly a decade of typical bolt-on activity, funded with debt that materially raises leverage. Flagged for the strategic-scale and leverage consequence, not for the multiple paid specifically.</w:t>
            </w:r>
          </w:p>
        </w:tc>
      </w:tr>
    </w:tbl>
    <w:p>
      <w:pPr/>
      <w:r>
        <w:t>Score: 4 PASS / 4 FLAG / 1 N/A (unscored). Per the framework's count-based rule (7+ pass = COMPOUNDER, 4-6 pass = QUALITY, &lt;4 pass = TRADE ONLY), 4 passes out of 8 scored criteria places CRH at the low end of the QUALITY band on business quality alone -- a real but unexceptional business, not a structural compounder. This structural finding is separate from, and gated by, the MoS verdict below.</w:t>
      </w:r>
    </w:p>
    <w:p>
      <w:pPr>
        <w:pStyle w:val="Heading1"/>
      </w:pPr>
      <w:r>
        <w:t>10. Sector Appendix — Industrials (Track A-ID)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Metric</w:t>
            </w:r>
          </w:p>
        </w:tc>
        <w:tc>
          <w:tcPr>
            <w:tcW w:type="dxa" w:w="2880"/>
            <w:shd w:val="clear" w:color="auto" w:fill="D9D9D9"/>
          </w:tcPr>
          <w:p>
            <w:r>
              <w:rPr>
                <w:b/>
              </w:rPr>
              <w:t>Value</w:t>
            </w:r>
          </w:p>
        </w:tc>
        <w:tc>
          <w:tcPr>
            <w:tcW w:type="dxa" w:w="2880"/>
            <w:shd w:val="clear" w:color="auto" w:fill="D9D9D9"/>
          </w:tcPr>
          <w:p>
            <w:r>
              <w:rPr>
                <w:b/>
              </w:rPr>
              <w:t>Read</w:t>
            </w:r>
          </w:p>
        </w:tc>
      </w:tr>
      <w:tr>
        <w:tc>
          <w:tcPr>
            <w:tcW w:type="dxa" w:w="2880"/>
          </w:tcPr>
          <w:p>
            <w:r>
              <w:t>EV/EBITDA</w:t>
            </w:r>
          </w:p>
        </w:tc>
        <w:tc>
          <w:tcPr>
            <w:tcW w:type="dxa" w:w="2880"/>
          </w:tcPr>
          <w:p>
            <w:r>
              <w:t>9.63x (current)</w:t>
            </w:r>
          </w:p>
        </w:tc>
        <w:tc>
          <w:tcPr>
            <w:tcW w:type="dxa" w:w="2880"/>
          </w:tcPr>
          <w:p>
            <w:r>
              <w:t>Below the 10-14x "quality" band, within the 8-10x "acceptable" band -- the market is not currently paying a premium multiple, consistent with the post-selloff price.</w:t>
            </w:r>
          </w:p>
        </w:tc>
      </w:tr>
      <w:tr>
        <w:tc>
          <w:tcPr>
            <w:tcW w:type="dxa" w:w="2880"/>
          </w:tcPr>
          <w:p>
            <w:r>
              <w:t>ROIC</w:t>
            </w:r>
          </w:p>
        </w:tc>
        <w:tc>
          <w:tcPr>
            <w:tcW w:type="dxa" w:w="2880"/>
          </w:tcPr>
          <w:p>
            <w:r>
              <w:t>~10.2% (TTM, this report's calculation)</w:t>
            </w:r>
          </w:p>
        </w:tc>
        <w:tc>
          <w:tcPr>
            <w:tcW w:type="dxa" w:w="2880"/>
          </w:tcPr>
          <w:p>
            <w:r>
              <w:t>Within the 10-15% "acceptable" band, short of the &gt;15% "strong" bar.</w:t>
            </w:r>
          </w:p>
        </w:tc>
      </w:tr>
      <w:tr>
        <w:tc>
          <w:tcPr>
            <w:tcW w:type="dxa" w:w="2880"/>
          </w:tcPr>
          <w:p>
            <w:r>
              <w:t>Book-to-bill ratio</w:t>
            </w:r>
          </w:p>
        </w:tc>
        <w:tc>
          <w:tcPr>
            <w:tcW w:type="dxa" w:w="2880"/>
          </w:tcPr>
          <w:p>
            <w:r>
              <w:t>NOT APPLICABLE / NO DATA</w:t>
            </w:r>
          </w:p>
        </w:tc>
        <w:tc>
          <w:tcPr>
            <w:tcW w:type="dxa" w:w="2880"/>
          </w:tcPr>
          <w:p>
            <w:r>
              <w:t>CRH does not report a traditional order backlog the way capital-goods/machinery companies do; noted explicitly per Routing (Section 2) rather than fabricated.</w:t>
            </w:r>
          </w:p>
        </w:tc>
      </w:tr>
      <w:tr>
        <w:tc>
          <w:tcPr>
            <w:tcW w:type="dxa" w:w="2880"/>
          </w:tcPr>
          <w:p>
            <w:r>
              <w:t>Backlog / annual revenue</w:t>
            </w:r>
          </w:p>
        </w:tc>
        <w:tc>
          <w:tcPr>
            <w:tcW w:type="dxa" w:w="2880"/>
          </w:tcPr>
          <w:p>
            <w:r>
              <w:t>NOT APPLICABLE / NO DATA</w:t>
            </w:r>
          </w:p>
        </w:tc>
        <w:tc>
          <w:tcPr>
            <w:tcW w:type="dxa" w:w="2880"/>
          </w:tcPr>
          <w:p>
            <w:r>
              <w:t>Same reason as above.</w:t>
            </w:r>
          </w:p>
        </w:tc>
      </w:tr>
      <w:tr>
        <w:tc>
          <w:tcPr>
            <w:tcW w:type="dxa" w:w="2880"/>
          </w:tcPr>
          <w:p>
            <w:r>
              <w:t>Organic revenue growth (excl. M&amp;A)</w:t>
            </w:r>
          </w:p>
        </w:tc>
        <w:tc>
          <w:tcPr>
            <w:tcW w:type="dxa" w:w="2880"/>
          </w:tcPr>
          <w:p>
            <w:r>
              <w:t>Approximately mid-single-digit [ESTIMATE]</w:t>
            </w:r>
          </w:p>
        </w:tc>
        <w:tc>
          <w:tcPr>
            <w:tcW w:type="dxa" w:w="2880"/>
          </w:tcPr>
          <w:p>
            <w:r>
              <w:t>Q2 2026's +6% YoY revenue growth was attributed to "positive pricing momentum, good underlying demand, and contributions from acquisitions" without an isolated organic-only figure found this session; aggregates volumes were reported +2% YoY with pricing "above 5%" in the same release -- these figures were not fully reconciled to a single blended organic rate, flagged as an estimate rather than a sourced figure.</w:t>
            </w:r>
          </w:p>
        </w:tc>
      </w:tr>
      <w:tr>
        <w:tc>
          <w:tcPr>
            <w:tcW w:type="dxa" w:w="2880"/>
          </w:tcPr>
          <w:p>
            <w:r>
              <w:t>EBIT margin</w:t>
            </w:r>
          </w:p>
        </w:tc>
        <w:tc>
          <w:tcPr>
            <w:tcW w:type="dxa" w:w="2880"/>
          </w:tcPr>
          <w:p>
            <w:r>
              <w:t>14.13% (TTM)</w:t>
            </w:r>
          </w:p>
        </w:tc>
        <w:tc>
          <w:tcPr>
            <w:tcW w:type="dxa" w:w="2880"/>
          </w:tcPr>
          <w:p>
            <w:r>
              <w:t>Within the 8-15% "acceptable" band, just under the &gt;15% "strong" bar -- and the metric this report's Mauboussin section (Section 6) finds priced to reach ~21-22% within 5 years.</w:t>
            </w:r>
          </w:p>
        </w:tc>
      </w:tr>
      <w:tr>
        <w:tc>
          <w:tcPr>
            <w:tcW w:type="dxa" w:w="2880"/>
          </w:tcPr>
          <w:p>
            <w:r>
              <w:t>Operating leverage</w:t>
            </w:r>
          </w:p>
        </w:tc>
        <w:tc>
          <w:tcPr>
            <w:tcW w:type="dxa" w:w="2880"/>
          </w:tcPr>
          <w:p>
            <w:r>
              <w:t>PRESENT</w:t>
            </w:r>
          </w:p>
        </w:tc>
        <w:tc>
          <w:tcPr>
            <w:tcW w:type="dxa" w:w="2880"/>
          </w:tcPr>
          <w:p>
            <w:r>
              <w:t>Revenue grew ~6% YoY in the most recent quarter while EBITDA grew 7% and margins expanded -- costs are growing slower than revenue, the textbook operating-leverage signature.</w:t>
            </w:r>
          </w:p>
        </w:tc>
      </w:tr>
      <w:tr>
        <w:tc>
          <w:tcPr>
            <w:tcW w:type="dxa" w:w="2880"/>
          </w:tcPr>
          <w:p>
            <w:r>
              <w:t>Aftermarket / service revenue %</w:t>
            </w:r>
          </w:p>
        </w:tc>
        <w:tc>
          <w:tcPr>
            <w:tcW w:type="dxa" w:w="2880"/>
          </w:tcPr>
          <w:p>
            <w:r>
              <w:t>NOT APPLICABLE / NO DATA</w:t>
            </w:r>
          </w:p>
        </w:tc>
        <w:tc>
          <w:tcPr>
            <w:tcW w:type="dxa" w:w="2880"/>
          </w:tcPr>
          <w:p>
            <w:r>
              <w:t>CRH is not an equipment manufacturer with a recurring parts/service revenue stream; this Industrials sub-metric does not map onto a materials/building-solutions business model and is noted rather than forced.</w:t>
            </w:r>
          </w:p>
        </w:tc>
      </w:tr>
    </w:tbl>
    <w:p>
      <w:pPr>
        <w:pStyle w:val="Heading1"/>
      </w:pPr>
      <w:r>
        <w:t>11. Five-Year Ratio Trend Analysis</w:t>
      </w:r>
    </w:p>
    <w:p>
      <w:pPr>
        <w:pStyle w:val="Heading2"/>
      </w:pPr>
      <w:r>
        <w:t>Base Ratio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Pr>
                <w:b/>
              </w:rPr>
              <w:t>Metric</w:t>
            </w:r>
          </w:p>
        </w:tc>
        <w:tc>
          <w:tcPr>
            <w:tcW w:type="dxa" w:w="1234"/>
            <w:shd w:val="clear" w:color="auto" w:fill="D9D9D9"/>
          </w:tcPr>
          <w:p>
            <w:r>
              <w:rPr>
                <w:b/>
              </w:rPr>
              <w:t>FY2021</w:t>
            </w:r>
          </w:p>
        </w:tc>
        <w:tc>
          <w:tcPr>
            <w:tcW w:type="dxa" w:w="1234"/>
            <w:shd w:val="clear" w:color="auto" w:fill="D9D9D9"/>
          </w:tcPr>
          <w:p>
            <w:r>
              <w:rPr>
                <w:b/>
              </w:rPr>
              <w:t>FY2022</w:t>
            </w:r>
          </w:p>
        </w:tc>
        <w:tc>
          <w:tcPr>
            <w:tcW w:type="dxa" w:w="1234"/>
            <w:shd w:val="clear" w:color="auto" w:fill="D9D9D9"/>
          </w:tcPr>
          <w:p>
            <w:r>
              <w:rPr>
                <w:b/>
              </w:rPr>
              <w:t>FY2023</w:t>
            </w:r>
          </w:p>
        </w:tc>
        <w:tc>
          <w:tcPr>
            <w:tcW w:type="dxa" w:w="1234"/>
            <w:shd w:val="clear" w:color="auto" w:fill="D9D9D9"/>
          </w:tcPr>
          <w:p>
            <w:r>
              <w:rPr>
                <w:b/>
              </w:rPr>
              <w:t>FY2024</w:t>
            </w:r>
          </w:p>
        </w:tc>
        <w:tc>
          <w:tcPr>
            <w:tcW w:type="dxa" w:w="1234"/>
            <w:shd w:val="clear" w:color="auto" w:fill="D9D9D9"/>
          </w:tcPr>
          <w:p>
            <w:r>
              <w:rPr>
                <w:b/>
              </w:rPr>
              <w:t>FY2025</w:t>
            </w:r>
          </w:p>
        </w:tc>
        <w:tc>
          <w:tcPr>
            <w:tcW w:type="dxa" w:w="1234"/>
            <w:shd w:val="clear" w:color="auto" w:fill="D9D9D9"/>
          </w:tcPr>
          <w:p>
            <w:r>
              <w:rPr>
                <w:b/>
              </w:rPr>
              <w:t>TTM</w:t>
            </w:r>
          </w:p>
        </w:tc>
      </w:tr>
      <w:tr>
        <w:tc>
          <w:tcPr>
            <w:tcW w:type="dxa" w:w="1234"/>
          </w:tcPr>
          <w:p>
            <w:r>
              <w:t>Revenue ($M)</w:t>
            </w:r>
          </w:p>
        </w:tc>
        <w:tc>
          <w:tcPr>
            <w:tcW w:type="dxa" w:w="1234"/>
          </w:tcPr>
          <w:p>
            <w:r>
              <w:t>n/a [not sourced]</w:t>
            </w:r>
          </w:p>
        </w:tc>
        <w:tc>
          <w:tcPr>
            <w:tcW w:type="dxa" w:w="1234"/>
          </w:tcPr>
          <w:p>
            <w:r>
              <w:t>32,723</w:t>
            </w:r>
          </w:p>
        </w:tc>
        <w:tc>
          <w:tcPr>
            <w:tcW w:type="dxa" w:w="1234"/>
          </w:tcPr>
          <w:p>
            <w:r>
              <w:t>34,949</w:t>
            </w:r>
          </w:p>
        </w:tc>
        <w:tc>
          <w:tcPr>
            <w:tcW w:type="dxa" w:w="1234"/>
          </w:tcPr>
          <w:p>
            <w:r>
              <w:t>35,572</w:t>
            </w:r>
          </w:p>
        </w:tc>
        <w:tc>
          <w:tcPr>
            <w:tcW w:type="dxa" w:w="1234"/>
          </w:tcPr>
          <w:p>
            <w:r>
              <w:t>37,447</w:t>
            </w:r>
          </w:p>
        </w:tc>
        <w:tc>
          <w:tcPr>
            <w:tcW w:type="dxa" w:w="1234"/>
          </w:tcPr>
          <w:p>
            <w:r>
              <w:t>38,632</w:t>
            </w:r>
          </w:p>
        </w:tc>
      </w:tr>
      <w:tr>
        <w:tc>
          <w:tcPr>
            <w:tcW w:type="dxa" w:w="1234"/>
          </w:tcPr>
          <w:p>
            <w:r>
              <w:t>Revenue growth YoY</w:t>
            </w:r>
          </w:p>
        </w:tc>
        <w:tc>
          <w:tcPr>
            <w:tcW w:type="dxa" w:w="1234"/>
          </w:tcPr>
          <w:p>
            <w:r>
              <w:t>n/a</w:t>
            </w:r>
          </w:p>
        </w:tc>
        <w:tc>
          <w:tcPr>
            <w:tcW w:type="dxa" w:w="1234"/>
          </w:tcPr>
          <w:p>
            <w:r>
              <w:t>n/m (no FY2021 revenue sourced)</w:t>
            </w:r>
          </w:p>
        </w:tc>
        <w:tc>
          <w:tcPr>
            <w:tcW w:type="dxa" w:w="1234"/>
          </w:tcPr>
          <w:p>
            <w:r>
              <w:t>+6.80%</w:t>
            </w:r>
          </w:p>
        </w:tc>
        <w:tc>
          <w:tcPr>
            <w:tcW w:type="dxa" w:w="1234"/>
          </w:tcPr>
          <w:p>
            <w:r>
              <w:t>+1.78%</w:t>
            </w:r>
          </w:p>
        </w:tc>
        <w:tc>
          <w:tcPr>
            <w:tcW w:type="dxa" w:w="1234"/>
          </w:tcPr>
          <w:p>
            <w:r>
              <w:t>+5.27%</w:t>
            </w:r>
          </w:p>
        </w:tc>
        <w:tc>
          <w:tcPr>
            <w:tcW w:type="dxa" w:w="1234"/>
          </w:tcPr>
          <w:p>
            <w:r>
              <w:t>+3.16%</w:t>
            </w:r>
          </w:p>
        </w:tc>
      </w:tr>
      <w:tr>
        <w:tc>
          <w:tcPr>
            <w:tcW w:type="dxa" w:w="1234"/>
          </w:tcPr>
          <w:p>
            <w:r>
              <w:t>Gross margin</w:t>
            </w:r>
          </w:p>
        </w:tc>
        <w:tc>
          <w:tcPr>
            <w:tcW w:type="dxa" w:w="1234"/>
          </w:tcPr>
          <w:p>
            <w:r>
              <w:t>n/a</w:t>
            </w:r>
          </w:p>
        </w:tc>
        <w:tc>
          <w:tcPr>
            <w:tcW w:type="dxa" w:w="1234"/>
          </w:tcPr>
          <w:p>
            <w:r>
              <w:t>33.05%</w:t>
            </w:r>
          </w:p>
        </w:tc>
        <w:tc>
          <w:tcPr>
            <w:tcW w:type="dxa" w:w="1234"/>
          </w:tcPr>
          <w:p>
            <w:r>
              <w:t>34.23%</w:t>
            </w:r>
          </w:p>
        </w:tc>
        <w:tc>
          <w:tcPr>
            <w:tcW w:type="dxa" w:w="1234"/>
          </w:tcPr>
          <w:p>
            <w:r>
              <w:t>35.70%</w:t>
            </w:r>
          </w:p>
        </w:tc>
        <w:tc>
          <w:tcPr>
            <w:tcW w:type="dxa" w:w="1234"/>
          </w:tcPr>
          <w:p>
            <w:r>
              <w:t>36.13%</w:t>
            </w:r>
          </w:p>
        </w:tc>
        <w:tc>
          <w:tcPr>
            <w:tcW w:type="dxa" w:w="1234"/>
          </w:tcPr>
          <w:p>
            <w:r>
              <w:t>36.25%</w:t>
            </w:r>
          </w:p>
        </w:tc>
      </w:tr>
      <w:tr>
        <w:tc>
          <w:tcPr>
            <w:tcW w:type="dxa" w:w="1234"/>
          </w:tcPr>
          <w:p>
            <w:r>
              <w:t>EBIT margin</w:t>
            </w:r>
          </w:p>
        </w:tc>
        <w:tc>
          <w:tcPr>
            <w:tcW w:type="dxa" w:w="1234"/>
          </w:tcPr>
          <w:p>
            <w:r>
              <w:t>11.34%</w:t>
            </w:r>
          </w:p>
        </w:tc>
        <w:tc>
          <w:tcPr>
            <w:tcW w:type="dxa" w:w="1234"/>
          </w:tcPr>
          <w:p>
            <w:r>
              <w:t>11.70%</w:t>
            </w:r>
          </w:p>
        </w:tc>
        <w:tc>
          <w:tcPr>
            <w:tcW w:type="dxa" w:w="1234"/>
          </w:tcPr>
          <w:p>
            <w:r>
              <w:t>12.85%</w:t>
            </w:r>
          </w:p>
        </w:tc>
        <w:tc>
          <w:tcPr>
            <w:tcW w:type="dxa" w:w="1234"/>
          </w:tcPr>
          <w:p>
            <w:r>
              <w:t>13.86%</w:t>
            </w:r>
          </w:p>
        </w:tc>
        <w:tc>
          <w:tcPr>
            <w:tcW w:type="dxa" w:w="1234"/>
          </w:tcPr>
          <w:p>
            <w:r>
              <w:t>14.27%</w:t>
            </w:r>
          </w:p>
        </w:tc>
        <w:tc>
          <w:tcPr>
            <w:tcW w:type="dxa" w:w="1234"/>
          </w:tcPr>
          <w:p>
            <w:r>
              <w:t>14.13%</w:t>
            </w:r>
          </w:p>
        </w:tc>
      </w:tr>
      <w:tr>
        <w:tc>
          <w:tcPr>
            <w:tcW w:type="dxa" w:w="1234"/>
          </w:tcPr>
          <w:p>
            <w:r>
              <w:t>Net margin</w:t>
            </w:r>
          </w:p>
        </w:tc>
        <w:tc>
          <w:tcPr>
            <w:tcW w:type="dxa" w:w="1234"/>
          </w:tcPr>
          <w:p>
            <w:r>
              <w:t>n/a</w:t>
            </w:r>
          </w:p>
        </w:tc>
        <w:tc>
          <w:tcPr>
            <w:tcW w:type="dxa" w:w="1234"/>
          </w:tcPr>
          <w:p>
            <w:r>
              <w:t>11.92%</w:t>
            </w:r>
          </w:p>
        </w:tc>
        <w:tc>
          <w:tcPr>
            <w:tcW w:type="dxa" w:w="1234"/>
          </w:tcPr>
          <w:p>
            <w:r>
              <w:t>9.03%</w:t>
            </w:r>
          </w:p>
        </w:tc>
        <w:tc>
          <w:tcPr>
            <w:tcW w:type="dxa" w:w="1234"/>
          </w:tcPr>
          <w:p>
            <w:r>
              <w:t>9.72%</w:t>
            </w:r>
          </w:p>
        </w:tc>
        <w:tc>
          <w:tcPr>
            <w:tcW w:type="dxa" w:w="1234"/>
          </w:tcPr>
          <w:p>
            <w:r>
              <w:t>9.96%</w:t>
            </w:r>
          </w:p>
        </w:tc>
        <w:tc>
          <w:tcPr>
            <w:tcW w:type="dxa" w:w="1234"/>
          </w:tcPr>
          <w:p>
            <w:r>
              <w:t>9.87%</w:t>
            </w:r>
          </w:p>
        </w:tc>
      </w:tr>
      <w:tr>
        <w:tc>
          <w:tcPr>
            <w:tcW w:type="dxa" w:w="1234"/>
          </w:tcPr>
          <w:p>
            <w:r>
              <w:t>ROE</w:t>
            </w:r>
          </w:p>
        </w:tc>
        <w:tc>
          <w:tcPr>
            <w:tcW w:type="dxa" w:w="1234"/>
          </w:tcPr>
          <w:p>
            <w:r>
              <w:t>12.15%</w:t>
            </w:r>
          </w:p>
        </w:tc>
        <w:tc>
          <w:tcPr>
            <w:tcW w:type="dxa" w:w="1234"/>
          </w:tcPr>
          <w:p>
            <w:r>
              <w:t>12.28%</w:t>
            </w:r>
          </w:p>
        </w:tc>
        <w:tc>
          <w:tcPr>
            <w:tcW w:type="dxa" w:w="1234"/>
          </w:tcPr>
          <w:p>
            <w:r>
              <w:t>13.76%</w:t>
            </w:r>
          </w:p>
        </w:tc>
        <w:tc>
          <w:tcPr>
            <w:tcW w:type="dxa" w:w="1234"/>
          </w:tcPr>
          <w:p>
            <w:r>
              <w:t>15.83%</w:t>
            </w:r>
          </w:p>
        </w:tc>
        <w:tc>
          <w:tcPr>
            <w:tcW w:type="dxa" w:w="1234"/>
          </w:tcPr>
          <w:p>
            <w:r>
              <w:t>15.68%</w:t>
            </w:r>
          </w:p>
        </w:tc>
        <w:tc>
          <w:tcPr>
            <w:tcW w:type="dxa" w:w="1234"/>
          </w:tcPr>
          <w:p>
            <w:r>
              <w:t>15.81%</w:t>
            </w:r>
          </w:p>
        </w:tc>
      </w:tr>
      <w:tr>
        <w:tc>
          <w:tcPr>
            <w:tcW w:type="dxa" w:w="1234"/>
          </w:tcPr>
          <w:p>
            <w:r>
              <w:t>P/E</w:t>
            </w:r>
          </w:p>
        </w:tc>
        <w:tc>
          <w:tcPr>
            <w:tcW w:type="dxa" w:w="1234"/>
          </w:tcPr>
          <w:p>
            <w:r>
              <w:t>15.59x</w:t>
            </w:r>
          </w:p>
        </w:tc>
        <w:tc>
          <w:tcPr>
            <w:tcW w:type="dxa" w:w="1234"/>
          </w:tcPr>
          <w:p>
            <w:r>
              <w:t>7.37x</w:t>
            </w:r>
          </w:p>
        </w:tc>
        <w:tc>
          <w:tcPr>
            <w:tcW w:type="dxa" w:w="1234"/>
          </w:tcPr>
          <w:p>
            <w:r>
              <w:t>15.13x</w:t>
            </w:r>
          </w:p>
        </w:tc>
        <w:tc>
          <w:tcPr>
            <w:tcW w:type="dxa" w:w="1234"/>
          </w:tcPr>
          <w:p>
            <w:r>
              <w:t>18.13x</w:t>
            </w:r>
          </w:p>
        </w:tc>
        <w:tc>
          <w:tcPr>
            <w:tcW w:type="dxa" w:w="1234"/>
          </w:tcPr>
          <w:p>
            <w:r>
              <w:t>22.38x</w:t>
            </w:r>
          </w:p>
        </w:tc>
        <w:tc>
          <w:tcPr>
            <w:tcW w:type="dxa" w:w="1234"/>
          </w:tcPr>
          <w:p>
            <w:r>
              <w:t>15.28x (current)</w:t>
            </w:r>
          </w:p>
        </w:tc>
      </w:tr>
      <w:tr>
        <w:tc>
          <w:tcPr>
            <w:tcW w:type="dxa" w:w="1234"/>
          </w:tcPr>
          <w:p>
            <w:r>
              <w:t>P/S</w:t>
            </w:r>
          </w:p>
        </w:tc>
        <w:tc>
          <w:tcPr>
            <w:tcW w:type="dxa" w:w="1234"/>
          </w:tcPr>
          <w:p>
            <w:r>
              <w:t>1.39x</w:t>
            </w:r>
          </w:p>
        </w:tc>
        <w:tc>
          <w:tcPr>
            <w:tcW w:type="dxa" w:w="1234"/>
          </w:tcPr>
          <w:p>
            <w:r>
              <w:t>0.88x</w:t>
            </w:r>
          </w:p>
        </w:tc>
        <w:tc>
          <w:tcPr>
            <w:tcW w:type="dxa" w:w="1234"/>
          </w:tcPr>
          <w:p>
            <w:r>
              <w:t>1.37x</w:t>
            </w:r>
          </w:p>
        </w:tc>
        <w:tc>
          <w:tcPr>
            <w:tcW w:type="dxa" w:w="1234"/>
          </w:tcPr>
          <w:p>
            <w:r>
              <w:t>1.76x</w:t>
            </w:r>
          </w:p>
        </w:tc>
        <w:tc>
          <w:tcPr>
            <w:tcW w:type="dxa" w:w="1234"/>
          </w:tcPr>
          <w:p>
            <w:r>
              <w:t>2.23x</w:t>
            </w:r>
          </w:p>
        </w:tc>
        <w:tc>
          <w:tcPr>
            <w:tcW w:type="dxa" w:w="1234"/>
          </w:tcPr>
          <w:p>
            <w:r>
              <w:t>1.49x (current)</w:t>
            </w:r>
          </w:p>
        </w:tc>
      </w:tr>
      <w:tr>
        <w:tc>
          <w:tcPr>
            <w:tcW w:type="dxa" w:w="1234"/>
          </w:tcPr>
          <w:p>
            <w:r>
              <w:t>P/B</w:t>
            </w:r>
          </w:p>
        </w:tc>
        <w:tc>
          <w:tcPr>
            <w:tcW w:type="dxa" w:w="1234"/>
          </w:tcPr>
          <w:p>
            <w:r>
              <w:t>1.95x</w:t>
            </w:r>
          </w:p>
        </w:tc>
        <w:tc>
          <w:tcPr>
            <w:tcW w:type="dxa" w:w="1234"/>
          </w:tcPr>
          <w:p>
            <w:r>
              <w:t>1.25x</w:t>
            </w:r>
          </w:p>
        </w:tc>
        <w:tc>
          <w:tcPr>
            <w:tcW w:type="dxa" w:w="1234"/>
          </w:tcPr>
          <w:p>
            <w:r>
              <w:t>2.21x</w:t>
            </w:r>
          </w:p>
        </w:tc>
        <w:tc>
          <w:tcPr>
            <w:tcW w:type="dxa" w:w="1234"/>
          </w:tcPr>
          <w:p>
            <w:r>
              <w:t>2.74x</w:t>
            </w:r>
          </w:p>
        </w:tc>
        <w:tc>
          <w:tcPr>
            <w:tcW w:type="dxa" w:w="1234"/>
          </w:tcPr>
          <w:p>
            <w:r>
              <w:t>3.28x</w:t>
            </w:r>
          </w:p>
        </w:tc>
        <w:tc>
          <w:tcPr>
            <w:tcW w:type="dxa" w:w="1234"/>
          </w:tcPr>
          <w:p>
            <w:r>
              <w:t>2.40x (current)</w:t>
            </w:r>
          </w:p>
        </w:tc>
      </w:tr>
      <w:tr>
        <w:tc>
          <w:tcPr>
            <w:tcW w:type="dxa" w:w="1234"/>
          </w:tcPr>
          <w:p>
            <w:r>
              <w:t>EV/EBITDA</w:t>
            </w:r>
          </w:p>
        </w:tc>
        <w:tc>
          <w:tcPr>
            <w:tcW w:type="dxa" w:w="1234"/>
          </w:tcPr>
          <w:p>
            <w:r>
              <w:t>9.79x</w:t>
            </w:r>
          </w:p>
        </w:tc>
        <w:tc>
          <w:tcPr>
            <w:tcW w:type="dxa" w:w="1234"/>
          </w:tcPr>
          <w:p>
            <w:r>
              <w:t>6.25x</w:t>
            </w:r>
          </w:p>
        </w:tc>
        <w:tc>
          <w:tcPr>
            <w:tcW w:type="dxa" w:w="1234"/>
          </w:tcPr>
          <w:p>
            <w:r>
              <w:t>9.04x</w:t>
            </w:r>
          </w:p>
        </w:tc>
        <w:tc>
          <w:tcPr>
            <w:tcW w:type="dxa" w:w="1234"/>
          </w:tcPr>
          <w:p>
            <w:r>
              <w:t>11.38x</w:t>
            </w:r>
          </w:p>
        </w:tc>
        <w:tc>
          <w:tcPr>
            <w:tcW w:type="dxa" w:w="1234"/>
          </w:tcPr>
          <w:p>
            <w:r>
              <w:t>13.50x</w:t>
            </w:r>
          </w:p>
        </w:tc>
        <w:tc>
          <w:tcPr>
            <w:tcW w:type="dxa" w:w="1234"/>
          </w:tcPr>
          <w:p>
            <w:r>
              <w:t>9.63x (current)</w:t>
            </w:r>
          </w:p>
        </w:tc>
      </w:tr>
      <w:tr>
        <w:tc>
          <w:tcPr>
            <w:tcW w:type="dxa" w:w="1234"/>
          </w:tcPr>
          <w:p>
            <w:r>
              <w:t>EV/Revenue</w:t>
            </w:r>
          </w:p>
        </w:tc>
        <w:tc>
          <w:tcPr>
            <w:tcW w:type="dxa" w:w="1234"/>
          </w:tcPr>
          <w:p>
            <w:r>
              <w:t>1.63x</w:t>
            </w:r>
          </w:p>
        </w:tc>
        <w:tc>
          <w:tcPr>
            <w:tcW w:type="dxa" w:w="1234"/>
          </w:tcPr>
          <w:p>
            <w:r>
              <w:t>1.03x</w:t>
            </w:r>
          </w:p>
        </w:tc>
        <w:tc>
          <w:tcPr>
            <w:tcW w:type="dxa" w:w="1234"/>
          </w:tcPr>
          <w:p>
            <w:r>
              <w:t>1.58x</w:t>
            </w:r>
          </w:p>
        </w:tc>
        <w:tc>
          <w:tcPr>
            <w:tcW w:type="dxa" w:w="1234"/>
          </w:tcPr>
          <w:p>
            <w:r>
              <w:t>2.15x</w:t>
            </w:r>
          </w:p>
        </w:tc>
        <w:tc>
          <w:tcPr>
            <w:tcW w:type="dxa" w:w="1234"/>
          </w:tcPr>
          <w:p>
            <w:r>
              <w:t>2.70x</w:t>
            </w:r>
          </w:p>
        </w:tc>
        <w:tc>
          <w:tcPr>
            <w:tcW w:type="dxa" w:w="1234"/>
          </w:tcPr>
          <w:p>
            <w:r>
              <w:t>1.93x (current)</w:t>
            </w:r>
          </w:p>
        </w:tc>
      </w:tr>
      <w:tr>
        <w:tc>
          <w:tcPr>
            <w:tcW w:type="dxa" w:w="1234"/>
          </w:tcPr>
          <w:p>
            <w:r>
              <w:t>Debt/Equity</w:t>
            </w:r>
          </w:p>
        </w:tc>
        <w:tc>
          <w:tcPr>
            <w:tcW w:type="dxa" w:w="1234"/>
          </w:tcPr>
          <w:p>
            <w:r>
              <w:t>0.58x</w:t>
            </w:r>
          </w:p>
        </w:tc>
        <w:tc>
          <w:tcPr>
            <w:tcW w:type="dxa" w:w="1234"/>
          </w:tcPr>
          <w:p>
            <w:r>
              <w:t>0.48x</w:t>
            </w:r>
          </w:p>
        </w:tc>
        <w:tc>
          <w:tcPr>
            <w:tcW w:type="dxa" w:w="1234"/>
          </w:tcPr>
          <w:p>
            <w:r>
              <w:t>0.61x</w:t>
            </w:r>
          </w:p>
        </w:tc>
        <w:tc>
          <w:tcPr>
            <w:tcW w:type="dxa" w:w="1234"/>
          </w:tcPr>
          <w:p>
            <w:r>
              <w:t>0.68x</w:t>
            </w:r>
          </w:p>
        </w:tc>
        <w:tc>
          <w:tcPr>
            <w:tcW w:type="dxa" w:w="1234"/>
          </w:tcPr>
          <w:p>
            <w:r>
              <w:t>0.77x</w:t>
            </w:r>
          </w:p>
        </w:tc>
        <w:tc>
          <w:tcPr>
            <w:tcW w:type="dxa" w:w="1234"/>
          </w:tcPr>
          <w:p>
            <w:r>
              <w:t>0.78x (current)</w:t>
            </w:r>
          </w:p>
        </w:tc>
      </w:tr>
      <w:tr>
        <w:tc>
          <w:tcPr>
            <w:tcW w:type="dxa" w:w="1234"/>
          </w:tcPr>
          <w:p>
            <w:r>
              <w:t>Net cash / (net debt) ($M)</w:t>
            </w:r>
          </w:p>
        </w:tc>
        <w:tc>
          <w:tcPr>
            <w:tcW w:type="dxa" w:w="1234"/>
          </w:tcPr>
          <w:p>
            <w:r>
              <w:t>n/a [total debt not isolated]</w:t>
            </w:r>
          </w:p>
        </w:tc>
        <w:tc>
          <w:tcPr>
            <w:tcW w:type="dxa" w:w="1234"/>
          </w:tcPr>
          <w:p>
            <w:r>
              <w:t>(5,019)</w:t>
            </w:r>
          </w:p>
        </w:tc>
        <w:tc>
          <w:tcPr>
            <w:tcW w:type="dxa" w:w="1234"/>
          </w:tcPr>
          <w:p>
            <w:r>
              <w:t>(6,798)</w:t>
            </w:r>
          </w:p>
        </w:tc>
        <w:tc>
          <w:tcPr>
            <w:tcW w:type="dxa" w:w="1234"/>
          </w:tcPr>
          <w:p>
            <w:r>
              <w:t>(11,844)</w:t>
            </w:r>
          </w:p>
        </w:tc>
        <w:tc>
          <w:tcPr>
            <w:tcW w:type="dxa" w:w="1234"/>
          </w:tcPr>
          <w:p>
            <w:r>
              <w:t>(15,609)</w:t>
            </w:r>
          </w:p>
        </w:tc>
        <w:tc>
          <w:tcPr>
            <w:tcW w:type="dxa" w:w="1234"/>
          </w:tcPr>
          <w:p>
            <w:r>
              <w:t>(16,788)</w:t>
            </w:r>
          </w:p>
        </w:tc>
      </w:tr>
      <w:tr>
        <w:tc>
          <w:tcPr>
            <w:tcW w:type="dxa" w:w="1234"/>
          </w:tcPr>
          <w:p>
            <w:r>
              <w:t>FCF margin (FCF/Revenue)</w:t>
            </w:r>
          </w:p>
        </w:tc>
        <w:tc>
          <w:tcPr>
            <w:tcW w:type="dxa" w:w="1234"/>
          </w:tcPr>
          <w:p>
            <w:r>
              <w:t>n/a</w:t>
            </w:r>
          </w:p>
        </w:tc>
        <w:tc>
          <w:tcPr>
            <w:tcW w:type="dxa" w:w="1234"/>
          </w:tcPr>
          <w:p>
            <w:r>
              <w:t>6.96%</w:t>
            </w:r>
          </w:p>
        </w:tc>
        <w:tc>
          <w:tcPr>
            <w:tcW w:type="dxa" w:w="1234"/>
          </w:tcPr>
          <w:p>
            <w:r>
              <w:t>9.16%</w:t>
            </w:r>
          </w:p>
        </w:tc>
        <w:tc>
          <w:tcPr>
            <w:tcW w:type="dxa" w:w="1234"/>
          </w:tcPr>
          <w:p>
            <w:r>
              <w:t>6.78%</w:t>
            </w:r>
          </w:p>
        </w:tc>
        <w:tc>
          <w:tcPr>
            <w:tcW w:type="dxa" w:w="1234"/>
          </w:tcPr>
          <w:p>
            <w:r>
              <w:t>7.78%</w:t>
            </w:r>
          </w:p>
        </w:tc>
        <w:tc>
          <w:tcPr>
            <w:tcW w:type="dxa" w:w="1234"/>
          </w:tcPr>
          <w:p>
            <w:r>
              <w:t>7.16%</w:t>
            </w:r>
          </w:p>
        </w:tc>
      </w:tr>
    </w:tbl>
    <w:p>
      <w:pPr/>
      <w:r>
        <w:t>Net income figures behind the net-margin row: FY2022 $3,902M, FY2023 $3,154M, FY2024 $3,458M, FY2025 $3,730M, TTM $3,814M -- FY2021 figures were not independently sourced this session for revenue, net income, gross margin, or net debt, so those cells are marked n/a rather than estimated; the EBIT margin and ROE rows for FY2021 were available from valuation-ratio sources and are reported.</w:t>
      </w:r>
    </w:p>
    <w:p>
      <w:pPr>
        <w:pStyle w:val="Heading2"/>
      </w:pPr>
      <w:r>
        <w:t>Sector-Specific Ratio Table (Industrials, A-ID)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Pr>
                <w:b/>
              </w:rPr>
              <w:t>Metric</w:t>
            </w:r>
          </w:p>
        </w:tc>
        <w:tc>
          <w:tcPr>
            <w:tcW w:type="dxa" w:w="1234"/>
            <w:shd w:val="clear" w:color="auto" w:fill="D9D9D9"/>
          </w:tcPr>
          <w:p>
            <w:r>
              <w:rPr>
                <w:b/>
              </w:rPr>
              <w:t>FY2021</w:t>
            </w:r>
          </w:p>
        </w:tc>
        <w:tc>
          <w:tcPr>
            <w:tcW w:type="dxa" w:w="1234"/>
            <w:shd w:val="clear" w:color="auto" w:fill="D9D9D9"/>
          </w:tcPr>
          <w:p>
            <w:r>
              <w:rPr>
                <w:b/>
              </w:rPr>
              <w:t>FY2022</w:t>
            </w:r>
          </w:p>
        </w:tc>
        <w:tc>
          <w:tcPr>
            <w:tcW w:type="dxa" w:w="1234"/>
            <w:shd w:val="clear" w:color="auto" w:fill="D9D9D9"/>
          </w:tcPr>
          <w:p>
            <w:r>
              <w:rPr>
                <w:b/>
              </w:rPr>
              <w:t>FY2023</w:t>
            </w:r>
          </w:p>
        </w:tc>
        <w:tc>
          <w:tcPr>
            <w:tcW w:type="dxa" w:w="1234"/>
            <w:shd w:val="clear" w:color="auto" w:fill="D9D9D9"/>
          </w:tcPr>
          <w:p>
            <w:r>
              <w:rPr>
                <w:b/>
              </w:rPr>
              <w:t>FY2024</w:t>
            </w:r>
          </w:p>
        </w:tc>
        <w:tc>
          <w:tcPr>
            <w:tcW w:type="dxa" w:w="1234"/>
            <w:shd w:val="clear" w:color="auto" w:fill="D9D9D9"/>
          </w:tcPr>
          <w:p>
            <w:r>
              <w:rPr>
                <w:b/>
              </w:rPr>
              <w:t>FY2025</w:t>
            </w:r>
          </w:p>
        </w:tc>
        <w:tc>
          <w:tcPr>
            <w:tcW w:type="dxa" w:w="1234"/>
            <w:shd w:val="clear" w:color="auto" w:fill="D9D9D9"/>
          </w:tcPr>
          <w:p>
            <w:r>
              <w:rPr>
                <w:b/>
              </w:rPr>
              <w:t>TTM</w:t>
            </w:r>
          </w:p>
        </w:tc>
      </w:tr>
      <w:tr>
        <w:tc>
          <w:tcPr>
            <w:tcW w:type="dxa" w:w="1234"/>
          </w:tcPr>
          <w:p>
            <w:r>
              <w:t>EV/EBITDA</w:t>
            </w:r>
          </w:p>
        </w:tc>
        <w:tc>
          <w:tcPr>
            <w:tcW w:type="dxa" w:w="1234"/>
          </w:tcPr>
          <w:p>
            <w:r>
              <w:t>9.79x</w:t>
            </w:r>
          </w:p>
        </w:tc>
        <w:tc>
          <w:tcPr>
            <w:tcW w:type="dxa" w:w="1234"/>
          </w:tcPr>
          <w:p>
            <w:r>
              <w:t>6.25x</w:t>
            </w:r>
          </w:p>
        </w:tc>
        <w:tc>
          <w:tcPr>
            <w:tcW w:type="dxa" w:w="1234"/>
          </w:tcPr>
          <w:p>
            <w:r>
              <w:t>9.04x</w:t>
            </w:r>
          </w:p>
        </w:tc>
        <w:tc>
          <w:tcPr>
            <w:tcW w:type="dxa" w:w="1234"/>
          </w:tcPr>
          <w:p>
            <w:r>
              <w:t>11.38x</w:t>
            </w:r>
          </w:p>
        </w:tc>
        <w:tc>
          <w:tcPr>
            <w:tcW w:type="dxa" w:w="1234"/>
          </w:tcPr>
          <w:p>
            <w:r>
              <w:t>13.50x</w:t>
            </w:r>
          </w:p>
        </w:tc>
        <w:tc>
          <w:tcPr>
            <w:tcW w:type="dxa" w:w="1234"/>
          </w:tcPr>
          <w:p>
            <w:r>
              <w:t>9.63x</w:t>
            </w:r>
          </w:p>
        </w:tc>
      </w:tr>
      <w:tr>
        <w:tc>
          <w:tcPr>
            <w:tcW w:type="dxa" w:w="1234"/>
          </w:tcPr>
          <w:p>
            <w:r>
              <w:t>ROIC (EBIT x (1-tax) / (Debt+Equity-Cash), this report's method)</w:t>
            </w:r>
          </w:p>
        </w:tc>
        <w:tc>
          <w:tcPr>
            <w:tcW w:type="dxa" w:w="1234"/>
          </w:tcPr>
          <w:p>
            <w:r>
              <w:t>[not recomputed for each historical year -- see note]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~10.2%</w:t>
            </w:r>
          </w:p>
        </w:tc>
      </w:tr>
      <w:tr>
        <w:tc>
          <w:tcPr>
            <w:tcW w:type="dxa" w:w="1234"/>
          </w:tcPr>
          <w:p>
            <w:r>
              <w:t>EBIT margin</w:t>
            </w:r>
          </w:p>
        </w:tc>
        <w:tc>
          <w:tcPr>
            <w:tcW w:type="dxa" w:w="1234"/>
          </w:tcPr>
          <w:p>
            <w:r>
              <w:t>11.34%</w:t>
            </w:r>
          </w:p>
        </w:tc>
        <w:tc>
          <w:tcPr>
            <w:tcW w:type="dxa" w:w="1234"/>
          </w:tcPr>
          <w:p>
            <w:r>
              <w:t>11.70%</w:t>
            </w:r>
          </w:p>
        </w:tc>
        <w:tc>
          <w:tcPr>
            <w:tcW w:type="dxa" w:w="1234"/>
          </w:tcPr>
          <w:p>
            <w:r>
              <w:t>12.85%</w:t>
            </w:r>
          </w:p>
        </w:tc>
        <w:tc>
          <w:tcPr>
            <w:tcW w:type="dxa" w:w="1234"/>
          </w:tcPr>
          <w:p>
            <w:r>
              <w:t>13.86%</w:t>
            </w:r>
          </w:p>
        </w:tc>
        <w:tc>
          <w:tcPr>
            <w:tcW w:type="dxa" w:w="1234"/>
          </w:tcPr>
          <w:p>
            <w:r>
              <w:t>14.27%</w:t>
            </w:r>
          </w:p>
        </w:tc>
        <w:tc>
          <w:tcPr>
            <w:tcW w:type="dxa" w:w="1234"/>
          </w:tcPr>
          <w:p>
            <w:r>
              <w:t>14.13%</w:t>
            </w:r>
          </w:p>
        </w:tc>
      </w:tr>
      <w:tr>
        <w:tc>
          <w:tcPr>
            <w:tcW w:type="dxa" w:w="1234"/>
          </w:tcPr>
          <w:p>
            <w:r>
              <w:t>Debt/Equity</w:t>
            </w:r>
          </w:p>
        </w:tc>
        <w:tc>
          <w:tcPr>
            <w:tcW w:type="dxa" w:w="1234"/>
          </w:tcPr>
          <w:p>
            <w:r>
              <w:t>0.58x</w:t>
            </w:r>
          </w:p>
        </w:tc>
        <w:tc>
          <w:tcPr>
            <w:tcW w:type="dxa" w:w="1234"/>
          </w:tcPr>
          <w:p>
            <w:r>
              <w:t>0.48x</w:t>
            </w:r>
          </w:p>
        </w:tc>
        <w:tc>
          <w:tcPr>
            <w:tcW w:type="dxa" w:w="1234"/>
          </w:tcPr>
          <w:p>
            <w:r>
              <w:t>0.61x</w:t>
            </w:r>
          </w:p>
        </w:tc>
        <w:tc>
          <w:tcPr>
            <w:tcW w:type="dxa" w:w="1234"/>
          </w:tcPr>
          <w:p>
            <w:r>
              <w:t>0.68x</w:t>
            </w:r>
          </w:p>
        </w:tc>
        <w:tc>
          <w:tcPr>
            <w:tcW w:type="dxa" w:w="1234"/>
          </w:tcPr>
          <w:p>
            <w:r>
              <w:t>0.77x</w:t>
            </w:r>
          </w:p>
        </w:tc>
        <w:tc>
          <w:tcPr>
            <w:tcW w:type="dxa" w:w="1234"/>
          </w:tcPr>
          <w:p>
            <w:r>
              <w:t>0.78x</w:t>
            </w:r>
          </w:p>
        </w:tc>
      </w:tr>
      <w:tr>
        <w:tc>
          <w:tcPr>
            <w:tcW w:type="dxa" w:w="1234"/>
          </w:tcPr>
          <w:p>
            <w:r>
              <w:t>Net debt/Equity</w:t>
            </w:r>
          </w:p>
        </w:tc>
        <w:tc>
          <w:tcPr>
            <w:tcW w:type="dxa" w:w="1234"/>
          </w:tcPr>
          <w:p>
            <w:r>
              <w:t>0.31x</w:t>
            </w:r>
          </w:p>
        </w:tc>
        <w:tc>
          <w:tcPr>
            <w:tcW w:type="dxa" w:w="1234"/>
          </w:tcPr>
          <w:p>
            <w:r>
              <w:t>0.22x</w:t>
            </w:r>
          </w:p>
        </w:tc>
        <w:tc>
          <w:tcPr>
            <w:tcW w:type="dxa" w:w="1234"/>
          </w:tcPr>
          <w:p>
            <w:r>
              <w:t>0.31x</w:t>
            </w:r>
          </w:p>
        </w:tc>
        <w:tc>
          <w:tcPr>
            <w:tcW w:type="dxa" w:w="1234"/>
          </w:tcPr>
          <w:p>
            <w:r>
              <w:t>0.52x</w:t>
            </w:r>
          </w:p>
        </w:tc>
        <w:tc>
          <w:tcPr>
            <w:tcW w:type="dxa" w:w="1234"/>
          </w:tcPr>
          <w:p>
            <w:r>
              <w:t>0.61x</w:t>
            </w:r>
          </w:p>
        </w:tc>
        <w:tc>
          <w:tcPr>
            <w:tcW w:type="dxa" w:w="1234"/>
          </w:tcPr>
          <w:p>
            <w:r>
              <w:t>0.66x</w:t>
            </w:r>
          </w:p>
        </w:tc>
      </w:tr>
    </w:tbl>
    <w:p>
      <w:pPr/>
      <w:r>
        <w:t>A full year-by-year ROIC recomputation (requiring historical equity and invested-capital balances for every year, not just current ROE-implied equity) was not attempted this session beyond the TTM figure already computed in Section 5 -- flagged as a data-construction limitation rather than backfilled with an estimate.</w:t>
      </w:r>
    </w:p>
    <w:p>
      <w:pPr>
        <w:pStyle w:val="Heading2"/>
      </w:pPr>
      <w:r>
        <w:t>Interpretation</w:t>
      </w:r>
    </w:p>
    <w:p>
      <w:pPr/>
      <w:r>
        <w:t>The EBIT-margin row is the clearest, most decision-relevant trend in this table: a near-uninterrupted six-year climb from 11.34% to 14.27%, only ticking down marginally in the TTM print -- this is the hard number behind Fisher's #5/#6 checklist finding in Section 7 and is exactly the trend Section 6's Mauboussin work extrapolates (and finds the market pricing an acceleration of, not merely a continuation of).</w:t>
      </w:r>
    </w:p>
    <w:p>
      <w:pPr/>
      <w:r>
        <w:t>The valuation-multiple rows (P/E, EV/EBITDA) tell a second, connected story: both multiples expanded well ahead of the margin trend through FY2025 (EV/EBITDA nearly doubling from 6.25x in FY2022 to 13.50x in FY2025) before compressing sharply back to 9.63x currently -- almost back to the FY2023 level despite EBIT margin being nearly 200bps higher than FY2023's 12.85%. This is the same Mauboussin tension quantified in Section 6, shown here as a realized multiple cycle rather than a point-in-time calculation: the market already re-rated CRH once on the margin-expansion story and has since given most of that re-rating back, even as the underlying margin trend never actually reversed.</w:t>
      </w:r>
    </w:p>
    <w:p>
      <w:pPr/>
      <w:r>
        <w:t>The Net debt/Equity trend (0.22x FY2022 low to 0.66x TTM, before the still-pending Arcosa step-up) is the hard number behind both the Fisher #13 discussion in Section 7 and the Quality Compounder screen's M&amp;A-discipline flag in Section 9 -- a single, consistent deleveraging-in-reverse trend across three separate framework lenses, not three independent minor observations.</w:t>
      </w:r>
    </w:p>
    <w:p>
      <w:pPr>
        <w:pStyle w:val="Heading1"/>
      </w:pPr>
      <w:r>
        <w:t>12. Final Verdict</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Field</w:t>
            </w:r>
          </w:p>
        </w:tc>
        <w:tc>
          <w:tcPr>
            <w:tcW w:type="dxa" w:w="4320"/>
            <w:shd w:val="clear" w:color="auto" w:fill="D9D9D9"/>
          </w:tcPr>
          <w:p>
            <w:r>
              <w:rPr>
                <w:b/>
              </w:rPr>
              <w:t>Value</w:t>
            </w:r>
          </w:p>
        </w:tc>
      </w:tr>
      <w:tr>
        <w:tc>
          <w:tcPr>
            <w:tcW w:type="dxa" w:w="4320"/>
          </w:tcPr>
          <w:p>
            <w:r>
              <w:t>Ticker</w:t>
            </w:r>
          </w:p>
        </w:tc>
        <w:tc>
          <w:tcPr>
            <w:tcW w:type="dxa" w:w="4320"/>
          </w:tcPr>
          <w:p>
            <w:r>
              <w:t>CRH (NYSE, primary) / CRH (LSE, secondary)</w:t>
            </w:r>
          </w:p>
        </w:tc>
      </w:tr>
      <w:tr>
        <w:tc>
          <w:tcPr>
            <w:tcW w:type="dxa" w:w="4320"/>
          </w:tcPr>
          <w:p>
            <w:r>
              <w:t>Track</w:t>
            </w:r>
          </w:p>
        </w:tc>
        <w:tc>
          <w:tcPr>
            <w:tcW w:type="dxa" w:w="4320"/>
          </w:tcPr>
          <w:p>
            <w:r>
              <w:t>A-ID (Industrials -- closest Sector Appendix fit; no dedicated Building Materials code)</w:t>
            </w:r>
          </w:p>
        </w:tc>
      </w:tr>
      <w:tr>
        <w:tc>
          <w:tcPr>
            <w:tcW w:type="dxa" w:w="4320"/>
          </w:tcPr>
          <w:p>
            <w:r>
              <w:t>Category (Lynch)</w:t>
            </w:r>
          </w:p>
        </w:tc>
        <w:tc>
          <w:tcPr>
            <w:tcW w:type="dxa" w:w="4320"/>
          </w:tcPr>
          <w:p>
            <w:r>
              <w:t>Cyclical, tilting Stalwart</w:t>
            </w:r>
          </w:p>
        </w:tc>
      </w:tr>
      <w:tr>
        <w:tc>
          <w:tcPr>
            <w:tcW w:type="dxa" w:w="4320"/>
          </w:tcPr>
          <w:p>
            <w:r>
              <w:t>F-Score</w:t>
            </w:r>
          </w:p>
        </w:tc>
        <w:tc>
          <w:tcPr>
            <w:tcW w:type="dxa" w:w="4320"/>
          </w:tcPr>
          <w:p>
            <w:r>
              <w:t>~50/100 (Track A weights: Value 40% / Quality 40% / Growth 20%)</w:t>
            </w:r>
          </w:p>
        </w:tc>
      </w:tr>
      <w:tr>
        <w:tc>
          <w:tcPr>
            <w:tcW w:type="dxa" w:w="4320"/>
          </w:tcPr>
          <w:p>
            <w:r>
              <w:t>F-Rating</w:t>
            </w:r>
          </w:p>
        </w:tc>
        <w:tc>
          <w:tcPr>
            <w:tcW w:type="dxa" w:w="4320"/>
          </w:tcPr>
          <w:p>
            <w:r>
              <w:t>FAIR</w:t>
            </w:r>
          </w:p>
        </w:tc>
      </w:tr>
      <w:tr>
        <w:tc>
          <w:tcPr>
            <w:tcW w:type="dxa" w:w="4320"/>
          </w:tcPr>
          <w:p>
            <w:r>
              <w:t>DCF Bear-Base-Bull</w:t>
            </w:r>
          </w:p>
        </w:tc>
        <w:tc>
          <w:tcPr>
            <w:tcW w:type="dxa" w:w="4320"/>
          </w:tcPr>
          <w:p>
            <w:r>
              <w:t>$22.03 / $49.13 / $78.24 per share</w:t>
            </w:r>
          </w:p>
        </w:tc>
      </w:tr>
      <w:tr>
        <w:tc>
          <w:tcPr>
            <w:tcW w:type="dxa" w:w="4320"/>
          </w:tcPr>
          <w:p>
            <w:r>
              <w:t>MoS Gate</w:t>
            </w:r>
          </w:p>
        </w:tc>
        <w:tc>
          <w:tcPr>
            <w:tcW w:type="dxa" w:w="4320"/>
          </w:tcPr>
          <w:p>
            <w:r>
              <w:t>NONE -- current price ($88.93) sits above all three scenarios, including Bull</w:t>
            </w:r>
          </w:p>
        </w:tc>
      </w:tr>
      <w:tr>
        <w:tc>
          <w:tcPr>
            <w:tcW w:type="dxa" w:w="4320"/>
          </w:tcPr>
          <w:p>
            <w:r>
              <w:t>Compounder</w:t>
            </w:r>
          </w:p>
        </w:tc>
        <w:tc>
          <w:tcPr>
            <w:tcW w:type="dxa" w:w="4320"/>
          </w:tcPr>
          <w:p>
            <w:r>
              <w:t>TRADE ONLY (structurally borderline QUALITY on the 9-criterion screen -- 4 pass / 4 flag / 1 N/A -- but capped by MoS Gate NONE and price above even the Bull case, per the framework's explicit "priced for perfection" override)</w:t>
            </w:r>
          </w:p>
        </w:tc>
      </w:tr>
      <w:tr>
        <w:tc>
          <w:tcPr>
            <w:tcW w:type="dxa" w:w="4320"/>
          </w:tcPr>
          <w:p>
            <w:r>
              <w:t>AI Impact</w:t>
            </w:r>
          </w:p>
        </w:tc>
        <w:tc>
          <w:tcPr>
            <w:tcW w:type="dxa" w:w="4320"/>
          </w:tcPr>
          <w:p>
            <w:r>
              <w:t>TAILWIND (modest, secondary -- management explicitly cited utility-infrastructure demand strength on the Q2 2026 call; real but not the primary thesis driver, which remains US highway/infrastructure spending and the broader construction cycle)</w:t>
            </w:r>
          </w:p>
        </w:tc>
      </w:tr>
      <w:tr>
        <w:tc>
          <w:tcPr>
            <w:tcW w:type="dxa" w:w="4320"/>
          </w:tcPr>
          <w:p>
            <w:r>
              <w:t>Horizon</w:t>
            </w:r>
          </w:p>
        </w:tc>
        <w:tc>
          <w:tcPr>
            <w:tcW w:type="dxa" w:w="4320"/>
          </w:tcPr>
          <w:p>
            <w:r>
              <w:t>Re-underwrite only</w:t>
            </w:r>
          </w:p>
        </w:tc>
      </w:tr>
      <w:tr>
        <w:tc>
          <w:tcPr>
            <w:tcW w:type="dxa" w:w="4320"/>
          </w:tcPr>
          <w:p>
            <w:r>
              <w:t>Thesis Invalidation</w:t>
            </w:r>
          </w:p>
        </w:tc>
        <w:tc>
          <w:tcPr>
            <w:tcW w:type="dxa" w:w="4320"/>
          </w:tcPr>
          <w:p>
            <w:r>
              <w:t>Net leverage climbing materially further post-Arcosa without a disclosed deleveraging path; failure of US federal highway funding to extend meaningfully beyond the 2026-12-11 IIJA extension without a durable replacement, against a Highway Trust Fund the CBO projects approaches insolvency by FY2028; or EBIT margin expansion stalling/reversing below approximately 13% on a sustained basis, which would undercut the roughly 21-22% EBIT margin path this report's Mauboussin section finds priced into the current share price</w:t>
            </w:r>
          </w:p>
        </w:tc>
      </w:tr>
    </w:tbl>
    <w:p>
      <w:pPr/>
      <w:r>
        <w:t>What has to be true: today's price requires CRH to roughly double its own historical pace of EBIT margin expansion (from ~60-65bps/year realized over 2021-TTM to an implied ~150-170bps/year) sustained for five straight years, on top of maintaining mid-single-digit revenue growth -- a combined growth-and-margin outcome that clears even this report's Bull-case scenario grid only at its most generous corner. The single biggest risk to the thesis is leverage: total debt has already grown 81% since FY2021 funding a string of acquisitions culminating in the $8.5B Arcosa deal, and any combination of a construction-demand downturn, a stalled or reversed highway-funding reauthorization, or margin disappointment would compound against a balance sheet with materially less room than it had going into this M&amp;A cycle. The single biggest catalyst that would most change this verdict is a clear post-Arcosa deleveraging plan (asset sales, a stated net-debt/EBITDA target and timeline) paired with confirmation that the FY2026 EBITDA guidance range's midpoint or better is tracking -- that combination would meaningfully narrow the gap between this report's DCF-anchored caution and the sell-side's currently much more optimistic $105-165 target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