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46A38"/>
          <w:sz w:val="34"/>
          <w:szCs w:val="34"/>
        </w:rPr>
        <w:t xml:space="preserve">OBN NATION ONLINE.COM</w:t>
      </w:r>
    </w:p>
    <w:p>
      <w:pPr>
        <w:spacing w:after="40"/>
        <w:jc w:val="center"/>
      </w:pPr>
      <w:r>
        <w:rPr>
          <w:b/>
          <w:bCs/>
          <w:color w:val="000000"/>
          <w:sz w:val="26"/>
          <w:szCs w:val="26"/>
        </w:rPr>
        <w:t xml:space="preserve">PHASE 1 PROJECT COST PROPOSAL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The Centralized Listing Cloud &amp; Regional Data Segregation</w:t>
      </w:r>
    </w:p>
    <w:p>
      <w:pPr>
        <w:pBdr>
          <w:bottom w:val="single" w:color="046A38" w:sz="6" w:space="8"/>
        </w:pBdr>
        <w:spacing w:after="240"/>
        <w:jc w:val="center"/>
      </w:pPr>
      <w:r>
        <w:rPr>
          <w:color w:val="595959"/>
          <w:sz w:val="20"/>
          <w:szCs w:val="20"/>
        </w:rPr>
        <w:t xml:space="preserve">Development Team — Ighodalo Labs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Ref.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OBN-CP1-2026-V1 (companion to OBN-PDP-2026-V1)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Kunmi &amp; Bassey, Development Team, Ighodalo Labs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Director, OBN NATION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only — Listing Cloud (2-month build, 2 milestones)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b/>
          <w:bCs/>
          <w:color w:val="046A38"/>
          <w:sz w:val="26"/>
          <w:szCs w:val="26"/>
        </w:rPr>
        <w:t xml:space="preserve">1.  What Phase 1 Delivers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1 replaces manual WhatsApp listing intake with a structured pipeline: WhatsApp-OTP seller sign-in, a three-step listing form with photo and video upload, region-based admin review across Port Harcourt, Delta, and Ekiti, and an edit-and-resubmit flow for rejected listings.</w:t>
      </w:r>
    </w:p>
    <w:p>
      <w:pPr>
        <w:pStyle w:val="Heading2"/>
        <w:spacing w:after="140" w:before="320"/>
      </w:pPr>
      <w:r>
        <w:rPr>
          <w:b/>
          <w:bCs/>
          <w:color w:val="046A38"/>
          <w:sz w:val="26"/>
          <w:szCs w:val="26"/>
        </w:rPr>
        <w:t xml:space="preserve">2.  Architecture Approach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proposal delivers the Phase 1 specification on a Supabase and Vercel stack in place of the blueprint's AWS S3 / Lambda configuration. The substitution lowers setup time and cost at Phase 1 scale while providing the same core capabilities: managed Postgres, file storage, authentication, and serverless functions.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Automated image and video compression to under 10MB — handled natively by AWS Lambda — is delivered here through a dedicated compression step, included in development scope. Supabase Pro and Vercel Pro are provisioned from Milestone 2 onward to remove free-tier storage, uptime, and backup limits before real seller data enters the platform.</w:t>
      </w:r>
    </w:p>
    <w:p>
      <w:pPr>
        <w:pStyle w:val="Heading2"/>
        <w:spacing w:after="140" w:before="320"/>
      </w:pPr>
      <w:r>
        <w:rPr>
          <w:b/>
          <w:bCs/>
          <w:color w:val="046A38"/>
          <w:sz w:val="26"/>
          <w:szCs w:val="26"/>
        </w:rPr>
        <w:t xml:space="preserve">3.  Duration &amp; Milestones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96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 1 (Weeks 1–4)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Database, WhatsApp OTP sign-in, three-step listing form, photo/video upload with compression, admin review dashboard, approval flow, edit/resubmit flow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 2 (Weeks 5–8)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Review, testing, bug fixes, closed beta, go-live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b/>
          <w:bCs/>
          <w:color w:val="046A38"/>
          <w:sz w:val="26"/>
          <w:szCs w:val="26"/>
        </w:rPr>
        <w:t xml:space="preserve">4.  Development Cost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400"/>
        <w:gridCol w:w="2400"/>
        <w:gridCol w:w="1780"/>
        <w:gridCol w:w="1780"/>
      </w:tblGrid>
      <w:tr>
        <w:trPr>
          <w:tblHeader/>
        </w:trPr>
        <w:tc>
          <w:tcPr>
            <w:tcW w:type="dxa" w:w="340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40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178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78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(₦)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Kunmi — Senior Developer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₦150,000 / milestone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milestones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300,000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Bassey — Main Developer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₦100,000 / milestone</w:t>
            </w:r>
          </w:p>
        </w:tc>
        <w:tc>
          <w:tcPr>
            <w:tcW w:type="dxa" w:w="1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milestones</w:t>
            </w:r>
          </w:p>
        </w:tc>
        <w:tc>
          <w:tcPr>
            <w:tcW w:type="dxa" w:w="1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200,000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Intelligence Support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$100 / month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months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277,600</w:t>
            </w:r>
          </w:p>
        </w:tc>
      </w:tr>
      <w:tr>
        <w:tc>
          <w:tcPr>
            <w:tcW w:type="dxa" w:w="3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Development Subtotal</w:t>
            </w:r>
          </w:p>
        </w:tc>
        <w:tc>
          <w:tcPr>
            <w:tcW w:type="dxa" w:w="2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8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8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777,600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b/>
          <w:bCs/>
          <w:color w:val="046A38"/>
          <w:sz w:val="26"/>
          <w:szCs w:val="26"/>
        </w:rPr>
        <w:t xml:space="preserve">5.  Infrastructure Cost (Build Phase)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400"/>
        <w:gridCol w:w="2400"/>
        <w:gridCol w:w="1780"/>
        <w:gridCol w:w="1780"/>
      </w:tblGrid>
      <w:tr>
        <w:trPr>
          <w:tblHeader/>
        </w:trPr>
        <w:tc>
          <w:tcPr>
            <w:tcW w:type="dxa" w:w="340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40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178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78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(₦)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 / month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 2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34,700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Pro (1 seat)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 / month</w:t>
            </w:r>
          </w:p>
        </w:tc>
        <w:tc>
          <w:tcPr>
            <w:tcW w:type="dxa" w:w="1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 2</w:t>
            </w:r>
          </w:p>
        </w:tc>
        <w:tc>
          <w:tcPr>
            <w:tcW w:type="dxa" w:w="1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27,760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 — WhatsApp OTP &amp; notices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$17.50 / month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months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48,580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registration (.com, first year)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$13.98</w:t>
            </w:r>
          </w:p>
        </w:tc>
        <w:tc>
          <w:tcPr>
            <w:tcW w:type="dxa" w:w="1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year</w:t>
            </w:r>
          </w:p>
        </w:tc>
        <w:tc>
          <w:tcPr>
            <w:tcW w:type="dxa" w:w="17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19,404</w:t>
            </w:r>
          </w:p>
        </w:tc>
      </w:tr>
      <w:tr>
        <w:tc>
          <w:tcPr>
            <w:tcW w:type="dxa" w:w="3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Infrastructure Subtotal</w:t>
            </w:r>
          </w:p>
        </w:tc>
        <w:tc>
          <w:tcPr>
            <w:tcW w:type="dxa" w:w="2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8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8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130,444</w:t>
            </w:r>
          </w:p>
        </w:tc>
      </w:tr>
    </w:tbl>
    <w:p>
      <w:pPr>
        <w:spacing w:after="60" w:line="276"/>
        <w:jc w:val="left"/>
      </w:pPr>
      <w:r>
        <w:rPr>
          <w:b w:val="false"/>
          <w:bCs w:val="false"/>
          <w:i/>
          <w:iCs/>
          <w:color w:val="595959"/>
          <w:sz w:val="18"/>
          <w:szCs w:val="18"/>
        </w:rPr>
        <w:t xml:space="preserve">Milestone 1 runs on free tiers (development traffic only); both upgrade to Pro at the start of Milestone 2.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b/>
          <w:bCs/>
          <w:color w:val="046A38"/>
          <w:sz w:val="26"/>
          <w:szCs w:val="26"/>
        </w:rPr>
        <w:t xml:space="preserve">6.  Total Phase 1 Budget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6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(₦)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Subtotal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777,600</w:t>
            </w:r>
          </w:p>
        </w:tc>
      </w:tr>
      <w:tr>
        <w:tc>
          <w:tcPr>
            <w:tcW w:type="dxa" w:w="5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 Subtotal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130,444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Contingency (10%)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90,804</w:t>
            </w:r>
          </w:p>
        </w:tc>
      </w:tr>
      <w:tr>
        <w:tc>
          <w:tcPr>
            <w:tcW w:type="dxa" w:w="5600"/>
            <w:shd w:fill="1E844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Phase 1 Budget</w:t>
            </w:r>
          </w:p>
        </w:tc>
        <w:tc>
          <w:tcPr>
            <w:tcW w:type="dxa" w:w="3760"/>
            <w:shd w:fill="1E844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998,848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b/>
          <w:bCs/>
          <w:color w:val="046A38"/>
          <w:sz w:val="26"/>
          <w:szCs w:val="26"/>
        </w:rPr>
        <w:t xml:space="preserve">7.  Monthly Recurring Cost (Post-Launch)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Ongoing running costs once live, separate from the one-time build budget above.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400"/>
        <w:gridCol w:w="1900"/>
        <w:gridCol w:w="2030"/>
        <w:gridCol w:w="2030"/>
      </w:tblGrid>
      <w:tr>
        <w:trPr>
          <w:tblHeader/>
        </w:trPr>
        <w:tc>
          <w:tcPr>
            <w:tcW w:type="dxa" w:w="340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90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03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(₦)</w:t>
            </w:r>
          </w:p>
        </w:tc>
        <w:tc>
          <w:tcPr>
            <w:tcW w:type="dxa" w:w="2030"/>
            <w:shd w:fill="046A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(₦)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 / mo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416,400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34,700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Pro (1 seat)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 / mo</w:t>
            </w:r>
          </w:p>
        </w:tc>
        <w:tc>
          <w:tcPr>
            <w:tcW w:type="dxa" w:w="20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333,120</w:t>
            </w:r>
          </w:p>
        </w:tc>
        <w:tc>
          <w:tcPr>
            <w:tcW w:type="dxa" w:w="20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27,760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 (≈500 notices/mo)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usage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291,480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24,290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renewal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0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26,205</w:t>
            </w:r>
          </w:p>
        </w:tc>
        <w:tc>
          <w:tcPr>
            <w:tcW w:type="dxa" w:w="20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2,184</w:t>
            </w:r>
          </w:p>
        </w:tc>
      </w:tr>
      <w:tr>
        <w:tc>
          <w:tcPr>
            <w:tcW w:type="dxa" w:w="34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Recurring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3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1,067,205</w:t>
            </w:r>
          </w:p>
        </w:tc>
        <w:tc>
          <w:tcPr>
            <w:tcW w:type="dxa" w:w="2030"/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88,934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b/>
          <w:bCs/>
          <w:color w:val="046A38"/>
          <w:sz w:val="26"/>
          <w:szCs w:val="26"/>
        </w:rPr>
        <w:t xml:space="preserve">8.  Notes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595959"/>
          <w:sz w:val="18"/>
          <w:szCs w:val="18"/>
        </w:rPr>
        <w:t xml:space="preserve">USD converted at ₦1,388/$1. Twilio cost combines its per-message fee ($0.005) and Meta's WhatsApp template fee at 500 notifications/month, priced at the upper bound of Nigeria's utility/authentication range. Domain renewal uses the standard Namecheap .com rate. Excludes Phases 2–6 and payment/escrow fees. Business registration and Meta verification sit with OBN NATION, outside this scope.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2026-07-16T03:39:30.242Z</dcterms:created>
  <dcterms:modified xsi:type="dcterms:W3CDTF">2026-07-16T03:39:30.256Z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