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5E20"/>
          <w:sz w:val="36"/>
          <w:szCs w:val="36"/>
        </w:rPr>
        <w:t xml:space="preserve">OBN NATION ONLINE.COM</w:t>
      </w:r>
    </w:p>
    <w:p>
      <w:pPr>
        <w:spacing w:after="40"/>
      </w:pPr>
      <w:r>
        <w:rPr>
          <w:rFonts w:ascii="Calibri" w:cs="Calibri" w:eastAsia="Calibri" w:hAnsi="Calibri"/>
          <w:b/>
          <w:bCs/>
          <w:sz w:val="28"/>
          <w:szCs w:val="28"/>
        </w:rPr>
        <w:t xml:space="preserve">PHASE 1 PROJECT COST PROPOSAL (REVISED)</w:t>
      </w:r>
    </w:p>
    <w:p>
      <w:pPr>
        <w:spacing w:after="40"/>
      </w:pPr>
      <w:r>
        <w:rPr>
          <w:rFonts w:ascii="Calibri" w:cs="Calibri" w:eastAsia="Calibri" w:hAnsi="Calibri"/>
          <w:i/>
          <w:iCs/>
          <w:sz w:val="22"/>
          <w:szCs w:val="22"/>
        </w:rPr>
        <w:t xml:space="preserve">The Centralized Listing Cloud &amp; Regional Data Segregation</w:t>
      </w:r>
    </w:p>
    <w:p>
      <w:pPr>
        <w:spacing w:after="200"/>
      </w:pPr>
      <w:r>
        <w:rPr>
          <w:rFonts w:ascii="Calibri" w:cs="Calibri" w:eastAsia="Calibri" w:hAnsi="Calibri"/>
          <w:sz w:val="22"/>
          <w:szCs w:val="22"/>
        </w:rPr>
        <w:t xml:space="preserve">Ighodalo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Document Ref.</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OBN-CP1-2026-V2 (revises OBN-CP1-2026-V1; companion to OBN-PDP-2026-V1)</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Date</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October 2026</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Prepared by</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Bassey, Developer, Ighodalo Labs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Prepared for</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Director, OBN NATION</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Scope</w:t>
            </w:r>
          </w:p>
        </w:tc>
        <w:tc>
          <w:tcPr>
            <w:tcW w:type="dxa" w:w="6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Phase 1 only: Listing Cloud (2-month build, 2 milestones)</w:t>
            </w:r>
          </w:p>
        </w:tc>
      </w:tr>
    </w:tbl>
    <w:p>
      <w:pPr>
        <w:spacing w:after="120" w:before="260"/>
      </w:pPr>
      <w:r>
        <w:rPr>
          <w:rFonts w:ascii="Calibri" w:cs="Calibri" w:eastAsia="Calibri" w:hAnsi="Calibri"/>
          <w:b/>
          <w:bCs/>
          <w:color w:val="1B5E20"/>
          <w:sz w:val="26"/>
          <w:szCs w:val="26"/>
        </w:rPr>
        <w:t xml:space="preserve">1. What Phase 1 Delivers</w:t>
      </w:r>
    </w:p>
    <w:p>
      <w:pPr>
        <w:spacing w:after="120"/>
      </w:pPr>
      <w:r>
        <w:rPr>
          <w:rFonts w:ascii="Calibri" w:cs="Calibri" w:eastAsia="Calibri" w:hAnsi="Calibri"/>
          <w:sz w:val="22"/>
          <w:szCs w:val="22"/>
        </w:rPr>
        <w:t xml:space="preserve">Phase 1 replaces manual WhatsApp listing intake with a structured pipeline. Sellers sign in with a WhatsApp OTP and submit a three-step listing form with photo and video upload. Admins review listings by region (Port Harcourt, Delta and Ekiti). Rejected listings go back to the seller for edit and resubmit.</w:t>
      </w:r>
    </w:p>
    <w:p>
      <w:pPr>
        <w:spacing w:after="60"/>
      </w:pPr>
      <w:r>
        <w:rPr>
          <w:rFonts w:ascii="Calibri" w:cs="Calibri" w:eastAsia="Calibri" w:hAnsi="Calibri"/>
          <w:sz w:val="22"/>
          <w:szCs w:val="22"/>
        </w:rPr>
        <w:t xml:space="preserve">It also includes the additions in the CTO sign-off of 19 July 2026:</w:t>
      </w:r>
    </w:p>
    <w:p>
      <w:pPr>
        <w:pStyle w:val="ListParagraph"/>
        <w:numPr>
          <w:ilvl w:val="0"/>
          <w:numId w:val="2"/>
        </w:numPr>
        <w:spacing w:after="60"/>
      </w:pPr>
      <w:r>
        <w:rPr>
          <w:rFonts w:ascii="Calibri" w:cs="Calibri" w:eastAsia="Calibri" w:hAnsi="Calibri"/>
          <w:sz w:val="22"/>
          <w:szCs w:val="22"/>
        </w:rPr>
        <w:t xml:space="preserve">A mobile-responsive landing page with an About section and a button to the Listing Cloud, plus Zoho Mail DNS records on the domain.</w:t>
      </w:r>
    </w:p>
    <w:p>
      <w:pPr>
        <w:pStyle w:val="ListParagraph"/>
        <w:numPr>
          <w:ilvl w:val="0"/>
          <w:numId w:val="2"/>
        </w:numPr>
        <w:spacing w:after="60"/>
      </w:pPr>
      <w:r>
        <w:rPr>
          <w:rFonts w:ascii="Calibri" w:cs="Calibri" w:eastAsia="Calibri" w:hAnsi="Calibri"/>
          <w:sz w:val="22"/>
          <w:szCs w:val="22"/>
        </w:rPr>
        <w:t xml:space="preserve">A unique referral link for every admin. Listings from that link go straight to that admin's dashboard.</w:t>
      </w:r>
    </w:p>
    <w:p>
      <w:pPr>
        <w:pStyle w:val="ListParagraph"/>
        <w:numPr>
          <w:ilvl w:val="0"/>
          <w:numId w:val="2"/>
        </w:numPr>
        <w:spacing w:after="60"/>
      </w:pPr>
      <w:r>
        <w:rPr>
          <w:rFonts w:ascii="Calibri" w:cs="Calibri" w:eastAsia="Calibri" w:hAnsi="Calibri"/>
          <w:sz w:val="22"/>
          <w:szCs w:val="22"/>
        </w:rPr>
        <w:t xml:space="preserve">A shared regional pool of approved listings. Lister contact details are masked at database level and visible only to the admin in charge.</w:t>
      </w:r>
    </w:p>
    <w:p>
      <w:pPr>
        <w:pStyle w:val="ListParagraph"/>
        <w:numPr>
          <w:ilvl w:val="0"/>
          <w:numId w:val="2"/>
        </w:numPr>
        <w:spacing w:after="60"/>
      </w:pPr>
      <w:r>
        <w:rPr>
          <w:rFonts w:ascii="Calibri" w:cs="Calibri" w:eastAsia="Calibri" w:hAnsi="Calibri"/>
          <w:sz w:val="22"/>
          <w:szCs w:val="22"/>
        </w:rPr>
        <w:t xml:space="preserve">A Global Admin tier that can view masked details and reassign listings.</w:t>
      </w:r>
    </w:p>
    <w:p>
      <w:pPr>
        <w:pStyle w:val="ListParagraph"/>
        <w:numPr>
          <w:ilvl w:val="0"/>
          <w:numId w:val="2"/>
        </w:numPr>
        <w:spacing w:after="60"/>
      </w:pPr>
      <w:r>
        <w:rPr>
          <w:rFonts w:ascii="Calibri" w:cs="Calibri" w:eastAsia="Calibri" w:hAnsi="Calibri"/>
          <w:sz w:val="22"/>
          <w:szCs w:val="22"/>
        </w:rPr>
        <w:t xml:space="preserve">A Global Admin screen to revoke and blacklist admins, which permanently blocks their login.</w:t>
      </w:r>
    </w:p>
    <w:p>
      <w:pPr>
        <w:spacing w:after="120" w:before="260"/>
      </w:pPr>
      <w:r>
        <w:rPr>
          <w:rFonts w:ascii="Calibri" w:cs="Calibri" w:eastAsia="Calibri" w:hAnsi="Calibri"/>
          <w:b/>
          <w:bCs/>
          <w:color w:val="1B5E20"/>
          <w:sz w:val="26"/>
          <w:szCs w:val="26"/>
        </w:rPr>
        <w:t xml:space="preserve">2. Architecture Approach</w:t>
      </w:r>
    </w:p>
    <w:p>
      <w:pPr>
        <w:spacing w:after="120"/>
      </w:pPr>
      <w:r>
        <w:rPr>
          <w:rFonts w:ascii="Calibri" w:cs="Calibri" w:eastAsia="Calibri" w:hAnsi="Calibri"/>
          <w:sz w:val="22"/>
          <w:szCs w:val="22"/>
        </w:rPr>
        <w:t xml:space="preserve">Phase 1 runs on Supabase and Vercel instead of the blueprint's AWS S3 and Lambda setup. This lowers setup time and cost at Phase 1 scale. It still gives managed Postgres, file storage, authentication and serverless functions.</w:t>
      </w:r>
    </w:p>
    <w:p>
      <w:pPr>
        <w:spacing w:after="120"/>
      </w:pPr>
      <w:r>
        <w:rPr>
          <w:rFonts w:ascii="Calibri" w:cs="Calibri" w:eastAsia="Calibri" w:hAnsi="Calibri"/>
          <w:sz w:val="22"/>
          <w:szCs w:val="22"/>
        </w:rPr>
        <w:t xml:space="preserve">Image and video compression to under 10MB is done in the browser before upload, as the CTO directed. Supabase Pro and Vercel Pro start at the beginning of Milestone 2, before any live beta data enters the system.</w:t>
      </w:r>
    </w:p>
    <w:p>
      <w:pPr>
        <w:spacing w:after="120" w:before="260"/>
      </w:pPr>
      <w:r>
        <w:rPr>
          <w:rFonts w:ascii="Calibri" w:cs="Calibri" w:eastAsia="Calibri" w:hAnsi="Calibri"/>
          <w:b/>
          <w:bCs/>
          <w:color w:val="1B5E20"/>
          <w:sz w:val="26"/>
          <w:szCs w:val="26"/>
        </w:rPr>
        <w:t xml:space="preserve">3. Duration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Milestone</w:t>
            </w:r>
          </w:p>
        </w:tc>
        <w:tc>
          <w:tcPr>
            <w:tcW w:type="dxa" w:w="706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Deliverables</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Milestone 1 (Weeks 1–4)</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Database, WhatsApp OTP sign-in, three-step listing form, in-browser compression and upload, admin review dashboard, approval flow, edit/resubmit flow, admin referral links, regional pool with data masking, Global Admin tier, revoke and blacklist screen, landing page and Zoho DNS</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Milestone 2 (Weeks 5–8)</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Review, testing, bug fixes, upgrade to Supabase Pro and Vercel Pro, closed beta, go-live</w:t>
            </w:r>
          </w:p>
        </w:tc>
      </w:tr>
    </w:tbl>
    <w:p>
      <w:pPr>
        <w:spacing w:after="120" w:before="260"/>
      </w:pPr>
      <w:r>
        <w:rPr>
          <w:rFonts w:ascii="Calibri" w:cs="Calibri" w:eastAsia="Calibri" w:hAnsi="Calibri"/>
          <w:b/>
          <w:bCs/>
          <w:color w:val="1B5E20"/>
          <w:sz w:val="26"/>
          <w:szCs w:val="26"/>
        </w:rPr>
        <w:t xml:space="preserve">4. Development Cost</w:t>
      </w:r>
    </w:p>
    <w:p>
      <w:pPr>
        <w:spacing w:after="100"/>
      </w:pPr>
      <w:r>
        <w:rPr>
          <w:rFonts w:ascii="Calibri" w:cs="Calibri" w:eastAsia="Calibri" w:hAnsi="Calibri"/>
          <w:sz w:val="22"/>
          <w:szCs w:val="22"/>
        </w:rPr>
        <w:t xml:space="preserve">Development is delivered by one developer, paid ₦50,000 per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60"/>
        <w:gridCol w:w="1700"/>
        <w:gridCol w:w="2300"/>
      </w:tblGrid>
      <w:tr>
        <w:trPr>
          <w:cantSplit/>
          <w:tblHeader/>
        </w:trPr>
        <w:tc>
          <w:tcPr>
            <w:tcW w:type="dxa" w:w="33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Line Item</w:t>
            </w:r>
          </w:p>
        </w:tc>
        <w:tc>
          <w:tcPr>
            <w:tcW w:type="dxa" w:w="206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Basis</w:t>
            </w:r>
          </w:p>
        </w:tc>
        <w:tc>
          <w:tcPr>
            <w:tcW w:type="dxa" w:w="17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Duration</w:t>
            </w:r>
          </w:p>
        </w:tc>
        <w:tc>
          <w:tcPr>
            <w:tcW w:type="dxa" w:w="23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Amount (₦)</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Bassey, Developer</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₦50,000 / milestone</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 milestones</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100,000</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Development Intelligence Support</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$100 / month</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 months</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265,800</w:t>
            </w:r>
          </w:p>
        </w:tc>
      </w:tr>
      <w:tr>
        <w:trPr>
          <w:cantSplit/>
          <w:tblHeader w:val="false"/>
        </w:trPr>
        <w:tc>
          <w:tcPr>
            <w:tcW w:type="dxa" w:w="33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Development Subtotal</w:t>
            </w:r>
          </w:p>
        </w:tc>
        <w:tc>
          <w:tcPr>
            <w:tcW w:type="dxa" w:w="206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
            </w:r>
          </w:p>
        </w:tc>
        <w:tc>
          <w:tcPr>
            <w:tcW w:type="dxa" w:w="17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
            </w:r>
          </w:p>
        </w:tc>
        <w:tc>
          <w:tcPr>
            <w:tcW w:type="dxa" w:w="23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right"/>
            </w:pPr>
            <w:r>
              <w:rPr>
                <w:rFonts w:ascii="Calibri" w:cs="Calibri" w:eastAsia="Calibri" w:hAnsi="Calibri"/>
                <w:b/>
                <w:bCs/>
                <w:sz w:val="21"/>
                <w:szCs w:val="21"/>
              </w:rPr>
              <w:t xml:space="preserve">365,800</w:t>
            </w:r>
          </w:p>
        </w:tc>
      </w:tr>
    </w:tbl>
    <w:p>
      <w:pPr>
        <w:spacing w:after="120" w:before="260"/>
      </w:pPr>
      <w:r>
        <w:rPr>
          <w:rFonts w:ascii="Calibri" w:cs="Calibri" w:eastAsia="Calibri" w:hAnsi="Calibri"/>
          <w:b/>
          <w:bCs/>
          <w:color w:val="1B5E20"/>
          <w:sz w:val="26"/>
          <w:szCs w:val="26"/>
        </w:rPr>
        <w:t xml:space="preserve">5. Infrastructure Cost (Build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60"/>
        <w:gridCol w:w="1700"/>
        <w:gridCol w:w="2300"/>
      </w:tblGrid>
      <w:tr>
        <w:trPr>
          <w:cantSplit/>
          <w:tblHeader/>
        </w:trPr>
        <w:tc>
          <w:tcPr>
            <w:tcW w:type="dxa" w:w="33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Line Item</w:t>
            </w:r>
          </w:p>
        </w:tc>
        <w:tc>
          <w:tcPr>
            <w:tcW w:type="dxa" w:w="206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Basis</w:t>
            </w:r>
          </w:p>
        </w:tc>
        <w:tc>
          <w:tcPr>
            <w:tcW w:type="dxa" w:w="17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Duration</w:t>
            </w:r>
          </w:p>
        </w:tc>
        <w:tc>
          <w:tcPr>
            <w:tcW w:type="dxa" w:w="23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Amount (₦)</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Supabase Pro</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$25 / month</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Milestone 2</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33,225</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Vercel Pro (1 seat)</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$20 / month</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Milestone 2</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26,580</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Twilio: WhatsApp OTP &amp; notices</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$17.50 / month</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 months</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46,515</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Domain registration (.com, first year)</w:t>
            </w:r>
          </w:p>
        </w:tc>
        <w:tc>
          <w:tcPr>
            <w:tcW w:type="dxa" w:w="2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$13.98</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1 year</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18,579</w:t>
            </w:r>
          </w:p>
        </w:tc>
      </w:tr>
      <w:tr>
        <w:trPr>
          <w:cantSplit/>
          <w:tblHeader w:val="false"/>
        </w:trPr>
        <w:tc>
          <w:tcPr>
            <w:tcW w:type="dxa" w:w="33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Infrastructure Subtotal</w:t>
            </w:r>
          </w:p>
        </w:tc>
        <w:tc>
          <w:tcPr>
            <w:tcW w:type="dxa" w:w="206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
            </w:r>
          </w:p>
        </w:tc>
        <w:tc>
          <w:tcPr>
            <w:tcW w:type="dxa" w:w="17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
            </w:r>
          </w:p>
        </w:tc>
        <w:tc>
          <w:tcPr>
            <w:tcW w:type="dxa" w:w="23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right"/>
            </w:pPr>
            <w:r>
              <w:rPr>
                <w:rFonts w:ascii="Calibri" w:cs="Calibri" w:eastAsia="Calibri" w:hAnsi="Calibri"/>
                <w:b/>
                <w:bCs/>
                <w:sz w:val="21"/>
                <w:szCs w:val="21"/>
              </w:rPr>
              <w:t xml:space="preserve">124,899</w:t>
            </w:r>
          </w:p>
        </w:tc>
      </w:tr>
    </w:tbl>
    <w:p>
      <w:pPr>
        <w:spacing w:after="60"/>
      </w:pPr>
      <w:r>
        <w:rPr>
          <w:rFonts w:ascii="Calibri" w:cs="Calibri" w:eastAsia="Calibri" w:hAnsi="Calibri"/>
          <w:i/>
          <w:iCs/>
          <w:sz w:val="22"/>
          <w:szCs w:val="22"/>
        </w:rPr>
        <w:t xml:space="preserve">Milestone 1 runs on free tiers (development traffic only). Both services upgrade to Pro at the start of Milestone 2.</w:t>
      </w:r>
    </w:p>
    <w:p>
      <w:pPr>
        <w:spacing w:after="120" w:before="260"/>
      </w:pPr>
      <w:r>
        <w:rPr>
          <w:rFonts w:ascii="Calibri" w:cs="Calibri" w:eastAsia="Calibri" w:hAnsi="Calibri"/>
          <w:b/>
          <w:bCs/>
          <w:color w:val="1B5E20"/>
          <w:sz w:val="26"/>
          <w:szCs w:val="26"/>
        </w:rPr>
        <w:t xml:space="preserve">6. Total Phase 1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cantSplit/>
          <w:tblHeader/>
        </w:trPr>
        <w:tc>
          <w:tcPr>
            <w:tcW w:type="dxa" w:w="656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Component</w:t>
            </w:r>
          </w:p>
        </w:tc>
        <w:tc>
          <w:tcPr>
            <w:tcW w:type="dxa" w:w="28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Amount (₦)</w:t>
            </w:r>
          </w:p>
        </w:tc>
      </w:tr>
      <w:tr>
        <w:trPr>
          <w:cantSplit/>
          <w:tblHeader w:val="false"/>
        </w:trPr>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Development Subtotal</w:t>
            </w:r>
          </w:p>
        </w:tc>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365,800</w:t>
            </w:r>
          </w:p>
        </w:tc>
      </w:tr>
      <w:tr>
        <w:trPr>
          <w:cantSplit/>
          <w:tblHeader w:val="false"/>
        </w:trPr>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Infrastructure Subtotal</w:t>
            </w:r>
          </w:p>
        </w:tc>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124,899</w:t>
            </w:r>
          </w:p>
        </w:tc>
      </w:tr>
      <w:tr>
        <w:trPr>
          <w:cantSplit/>
          <w:tblHeader w:val="false"/>
        </w:trPr>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Contingency (10%)</w:t>
            </w:r>
          </w:p>
        </w:tc>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49,070</w:t>
            </w:r>
          </w:p>
        </w:tc>
      </w:tr>
      <w:tr>
        <w:trPr>
          <w:cantSplit/>
          <w:tblHeader w:val="false"/>
        </w:trPr>
        <w:tc>
          <w:tcPr>
            <w:tcW w:type="dxa" w:w="656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Total Phase 1 Budget</w:t>
            </w:r>
          </w:p>
        </w:tc>
        <w:tc>
          <w:tcPr>
            <w:tcW w:type="dxa" w:w="28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right"/>
            </w:pPr>
            <w:r>
              <w:rPr>
                <w:rFonts w:ascii="Calibri" w:cs="Calibri" w:eastAsia="Calibri" w:hAnsi="Calibri"/>
                <w:b/>
                <w:bCs/>
                <w:sz w:val="21"/>
                <w:szCs w:val="21"/>
              </w:rPr>
              <w:t xml:space="preserve">539,769</w:t>
            </w:r>
          </w:p>
        </w:tc>
      </w:tr>
    </w:tbl>
    <w:p>
      <w:pPr>
        <w:spacing w:after="120" w:before="260"/>
      </w:pPr>
      <w:r>
        <w:rPr>
          <w:rFonts w:ascii="Calibri" w:cs="Calibri" w:eastAsia="Calibri" w:hAnsi="Calibri"/>
          <w:b/>
          <w:bCs/>
          <w:color w:val="1B5E20"/>
          <w:sz w:val="26"/>
          <w:szCs w:val="26"/>
        </w:rPr>
        <w:t xml:space="preserve">7. Change from Version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blHeader/>
        </w:trPr>
        <w:tc>
          <w:tcPr>
            <w:tcW w:type="dxa" w:w="396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Item</w:t>
            </w:r>
          </w:p>
        </w:tc>
        <w:tc>
          <w:tcPr>
            <w:tcW w:type="dxa" w:w="18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V1 (₦)</w:t>
            </w:r>
          </w:p>
        </w:tc>
        <w:tc>
          <w:tcPr>
            <w:tcW w:type="dxa" w:w="18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V2 (₦)</w:t>
            </w:r>
          </w:p>
        </w:tc>
        <w:tc>
          <w:tcPr>
            <w:tcW w:type="dxa" w:w="18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Difference (₦)</w:t>
            </w:r>
          </w:p>
        </w:tc>
      </w:tr>
      <w:tr>
        <w:trPr>
          <w:cantSplit/>
          <w:tblHeader w:val="false"/>
        </w:trPr>
        <w:tc>
          <w:tcPr>
            <w:tcW w:type="dxa" w:w="3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Development Subtotal</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777,600</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365,800</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−411,800</w:t>
            </w:r>
          </w:p>
        </w:tc>
      </w:tr>
      <w:tr>
        <w:trPr>
          <w:cantSplit/>
          <w:tblHeader w:val="false"/>
        </w:trPr>
        <w:tc>
          <w:tcPr>
            <w:tcW w:type="dxa" w:w="3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Infrastructure Subtotal</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130,444</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124,899</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−5,545</w:t>
            </w:r>
          </w:p>
        </w:tc>
      </w:tr>
      <w:tr>
        <w:trPr>
          <w:cantSplit/>
          <w:tblHeader w:val="false"/>
        </w:trPr>
        <w:tc>
          <w:tcPr>
            <w:tcW w:type="dxa" w:w="3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Contingency (10%)</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90,804</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49,070</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−41,734</w:t>
            </w:r>
          </w:p>
        </w:tc>
      </w:tr>
      <w:tr>
        <w:trPr>
          <w:cantSplit/>
          <w:tblHeader w:val="false"/>
        </w:trPr>
        <w:tc>
          <w:tcPr>
            <w:tcW w:type="dxa" w:w="396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Total Phase 1 Budget</w:t>
            </w:r>
          </w:p>
        </w:tc>
        <w:tc>
          <w:tcPr>
            <w:tcW w:type="dxa" w:w="18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right"/>
            </w:pPr>
            <w:r>
              <w:rPr>
                <w:rFonts w:ascii="Calibri" w:cs="Calibri" w:eastAsia="Calibri" w:hAnsi="Calibri"/>
                <w:b/>
                <w:bCs/>
                <w:sz w:val="21"/>
                <w:szCs w:val="21"/>
              </w:rPr>
              <w:t xml:space="preserve">998,848</w:t>
            </w:r>
          </w:p>
        </w:tc>
        <w:tc>
          <w:tcPr>
            <w:tcW w:type="dxa" w:w="18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right"/>
            </w:pPr>
            <w:r>
              <w:rPr>
                <w:rFonts w:ascii="Calibri" w:cs="Calibri" w:eastAsia="Calibri" w:hAnsi="Calibri"/>
                <w:b/>
                <w:bCs/>
                <w:sz w:val="21"/>
                <w:szCs w:val="21"/>
              </w:rPr>
              <w:t xml:space="preserve">539,769</w:t>
            </w:r>
          </w:p>
        </w:tc>
        <w:tc>
          <w:tcPr>
            <w:tcW w:type="dxa" w:w="18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right"/>
            </w:pPr>
            <w:r>
              <w:rPr>
                <w:rFonts w:ascii="Calibri" w:cs="Calibri" w:eastAsia="Calibri" w:hAnsi="Calibri"/>
                <w:b/>
                <w:bCs/>
                <w:sz w:val="21"/>
                <w:szCs w:val="21"/>
              </w:rPr>
              <w:t xml:space="preserve">−459,079</w:t>
            </w:r>
          </w:p>
        </w:tc>
      </w:tr>
    </w:tbl>
    <w:p>
      <w:pPr>
        <w:spacing w:after="60"/>
      </w:pPr>
      <w:r>
        <w:rPr>
          <w:rFonts w:ascii="Calibri" w:cs="Calibri" w:eastAsia="Calibri" w:hAnsi="Calibri"/>
          <w:sz w:val="22"/>
          <w:szCs w:val="22"/>
        </w:rPr>
        <w:t xml:space="preserve">The scope is the same as the signed-off V1 scope. The saving comes from having one developer on the build at ₦50,000 per milestone, and from the updated exchange rate.</w:t>
      </w:r>
    </w:p>
    <w:p>
      <w:pPr>
        <w:spacing w:after="120" w:before="260"/>
      </w:pPr>
      <w:r>
        <w:rPr>
          <w:rFonts w:ascii="Calibri" w:cs="Calibri" w:eastAsia="Calibri" w:hAnsi="Calibri"/>
          <w:b/>
          <w:bCs/>
          <w:color w:val="1B5E20"/>
          <w:sz w:val="26"/>
          <w:szCs w:val="26"/>
        </w:rPr>
        <w:t xml:space="preserve">8. Monthly Recurring Cost (Post-Launch)</w:t>
      </w:r>
    </w:p>
    <w:p>
      <w:pPr>
        <w:spacing w:after="100"/>
      </w:pPr>
      <w:r>
        <w:rPr>
          <w:rFonts w:ascii="Calibri" w:cs="Calibri" w:eastAsia="Calibri" w:hAnsi="Calibri"/>
          <w:sz w:val="22"/>
          <w:szCs w:val="22"/>
        </w:rPr>
        <w:t xml:space="preserve">Running costs once the platform is live. These are separate from the one-time build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2100"/>
        <w:gridCol w:w="2100"/>
      </w:tblGrid>
      <w:tr>
        <w:trPr>
          <w:cantSplit/>
          <w:tblHeader/>
        </w:trPr>
        <w:tc>
          <w:tcPr>
            <w:tcW w:type="dxa" w:w="336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Line Item</w:t>
            </w:r>
          </w:p>
        </w:tc>
        <w:tc>
          <w:tcPr>
            <w:tcW w:type="dxa" w:w="18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Basis</w:t>
            </w:r>
          </w:p>
        </w:tc>
        <w:tc>
          <w:tcPr>
            <w:tcW w:type="dxa" w:w="21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Annual (₦)</w:t>
            </w:r>
          </w:p>
        </w:tc>
        <w:tc>
          <w:tcPr>
            <w:tcW w:type="dxa" w:w="2100"/>
            <w:tcBorders>
              <w:top w:val="single" w:color="BBBBBB" w:sz="4"/>
              <w:left w:val="single" w:color="BBBBBB" w:sz="4"/>
              <w:bottom w:val="single" w:color="BBBBBB" w:sz="4"/>
              <w:right w:val="single" w:color="BBBBBB" w:sz="4"/>
            </w:tcBorders>
            <w:shd w:fill="1B5E20"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Monthly (₦)</w:t>
            </w:r>
          </w:p>
        </w:tc>
      </w:tr>
      <w:tr>
        <w:trPr>
          <w:cantSplit/>
          <w:tblHeader w:val="false"/>
        </w:trPr>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Supabase Pro</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$25 / mo</w:t>
            </w:r>
          </w:p>
        </w:tc>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398,700</w:t>
            </w:r>
          </w:p>
        </w:tc>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33,225</w:t>
            </w:r>
          </w:p>
        </w:tc>
      </w:tr>
      <w:tr>
        <w:trPr>
          <w:cantSplit/>
          <w:tblHeader w:val="false"/>
        </w:trPr>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Vercel Pro (1 seat)</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$20 / mo</w:t>
            </w:r>
          </w:p>
        </w:tc>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318,960</w:t>
            </w:r>
          </w:p>
        </w:tc>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26,580</w:t>
            </w:r>
          </w:p>
        </w:tc>
      </w:tr>
      <w:tr>
        <w:trPr>
          <w:cantSplit/>
          <w:tblHeader w:val="false"/>
        </w:trPr>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Twilio (≈500 notices/mo)</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usage</w:t>
            </w:r>
          </w:p>
        </w:tc>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279,090</w:t>
            </w:r>
          </w:p>
        </w:tc>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23,258</w:t>
            </w:r>
          </w:p>
        </w:tc>
      </w:tr>
      <w:tr>
        <w:trPr>
          <w:cantSplit/>
          <w:tblHeader w:val="false"/>
        </w:trPr>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Domain renewal</w:t>
            </w:r>
          </w:p>
        </w:tc>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annual</w:t>
            </w:r>
          </w:p>
        </w:tc>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25,092</w:t>
            </w:r>
          </w:p>
        </w:tc>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right"/>
            </w:pPr>
            <w:r>
              <w:rPr>
                <w:rFonts w:ascii="Calibri" w:cs="Calibri" w:eastAsia="Calibri" w:hAnsi="Calibri"/>
                <w:b w:val="false"/>
                <w:bCs w:val="false"/>
                <w:sz w:val="21"/>
                <w:szCs w:val="21"/>
              </w:rPr>
              <w:t xml:space="preserve">2,091</w:t>
            </w:r>
          </w:p>
        </w:tc>
      </w:tr>
      <w:tr>
        <w:trPr>
          <w:cantSplit/>
          <w:tblHeader w:val="false"/>
        </w:trPr>
        <w:tc>
          <w:tcPr>
            <w:tcW w:type="dxa" w:w="336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Total Recurring</w:t>
            </w:r>
          </w:p>
        </w:tc>
        <w:tc>
          <w:tcPr>
            <w:tcW w:type="dxa" w:w="18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
            </w:r>
          </w:p>
        </w:tc>
        <w:tc>
          <w:tcPr>
            <w:tcW w:type="dxa" w:w="21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right"/>
            </w:pPr>
            <w:r>
              <w:rPr>
                <w:rFonts w:ascii="Calibri" w:cs="Calibri" w:eastAsia="Calibri" w:hAnsi="Calibri"/>
                <w:b/>
                <w:bCs/>
                <w:sz w:val="21"/>
                <w:szCs w:val="21"/>
              </w:rPr>
              <w:t xml:space="preserve">1,021,842</w:t>
            </w:r>
          </w:p>
        </w:tc>
        <w:tc>
          <w:tcPr>
            <w:tcW w:type="dxa" w:w="2100"/>
            <w:tcBorders>
              <w:top w:val="single" w:color="BBBBBB" w:sz="4"/>
              <w:left w:val="single" w:color="BBBBBB" w:sz="4"/>
              <w:bottom w:val="single" w:color="BBBBBB" w:sz="4"/>
              <w:right w:val="single" w:color="BBBBBB" w:sz="4"/>
            </w:tcBorders>
            <w:shd w:fill="E8F5E9" w:color="auto" w:val="clear"/>
            <w:tcMar>
              <w:top w:type="dxa" w:w="70"/>
              <w:left w:type="dxa" w:w="110"/>
              <w:bottom w:type="dxa" w:w="70"/>
              <w:right w:type="dxa" w:w="110"/>
            </w:tcMar>
          </w:tcPr>
          <w:p>
            <w:pPr>
              <w:jc w:val="right"/>
            </w:pPr>
            <w:r>
              <w:rPr>
                <w:rFonts w:ascii="Calibri" w:cs="Calibri" w:eastAsia="Calibri" w:hAnsi="Calibri"/>
                <w:b/>
                <w:bCs/>
                <w:sz w:val="21"/>
                <w:szCs w:val="21"/>
              </w:rPr>
              <w:t xml:space="preserve">85,154</w:t>
            </w:r>
          </w:p>
        </w:tc>
      </w:tr>
    </w:tbl>
    <w:p>
      <w:pPr>
        <w:spacing w:after="120" w:before="260"/>
      </w:pPr>
      <w:r>
        <w:rPr>
          <w:rFonts w:ascii="Calibri" w:cs="Calibri" w:eastAsia="Calibri" w:hAnsi="Calibri"/>
          <w:b/>
          <w:bCs/>
          <w:color w:val="1B5E20"/>
          <w:sz w:val="26"/>
          <w:szCs w:val="26"/>
        </w:rPr>
        <w:t xml:space="preserve">9. Notes</w:t>
      </w:r>
    </w:p>
    <w:p>
      <w:pPr>
        <w:spacing w:after="120"/>
      </w:pPr>
      <w:r>
        <w:rPr>
          <w:rFonts w:ascii="Calibri" w:cs="Calibri" w:eastAsia="Calibri" w:hAnsi="Calibri"/>
          <w:sz w:val="22"/>
          <w:szCs w:val="22"/>
        </w:rPr>
        <w:t xml:space="preserve">USD converted at ₦1,329/$1 (official NFEM rate, 9 October 2026). Card charges can land slightly higher; the 10% contingency covers this. Twilio combines its per-message fee ($0.005) and Meta's WhatsApp template fee at 500 notifications a month, priced at the upper end of Nigeria's utility/authentication range. Domain renewal uses the standard Namecheap .com rate. This excludes Phases 2–6 and payment or escrow fees. Business registration and Meta verification sit with OBN NATION and are outside this scope. The optional post-launch support retainer requested in the sign-off will be sent as a separate quote.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2026-10-11T18:12:59.572Z</dcterms:created>
  <dcterms:modified xsi:type="dcterms:W3CDTF">2026-10-11T18:12:59.580Z</dcterms:modified>
</cp:coreProperties>
</file>

<file path=docProps/custom.xml><?xml version="1.0" encoding="utf-8"?>
<Properties xmlns="http://schemas.openxmlformats.org/officeDocument/2006/custom-properties" xmlns:vt="http://schemas.openxmlformats.org/officeDocument/2006/docPropsVTypes"/>
</file>