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2ACDA72" w14:textId="2E614D55" w:rsidR="00656D90" w:rsidRDefault="00000000" w:rsidP="00E4750C">
      <w:pPr>
        <w:spacing w:after="100"/>
        <w:jc w:val="both"/>
      </w:pPr>
      <w:r>
        <w:rPr>
          <w:b/>
          <w:bCs/>
          <w:sz w:val="22"/>
          <w:szCs w:val="22"/>
        </w:rPr>
        <w:t>I – ESCOPO DO TRABALHO</w:t>
      </w:r>
    </w:p>
    <w:tbl>
      <w:tblPr>
        <w:tblW w:w="5000" w:type="pct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96"/>
      </w:tblGrid>
      <w:tr w:rsidR="00656D90" w14:paraId="647EFC0F" w14:textId="77777777">
        <w:tc>
          <w:tcPr>
            <w:tcW w:w="5000" w:type="pct"/>
            <w:shd w:val="clear" w:color="auto" w:fill="001F5F"/>
            <w:tcMar>
              <w:top w:w="160" w:type="dxa"/>
              <w:left w:w="150" w:type="dxa"/>
              <w:bottom w:w="160" w:type="dxa"/>
              <w:right w:w="150" w:type="dxa"/>
            </w:tcMar>
            <w:vAlign w:val="center"/>
          </w:tcPr>
          <w:p w14:paraId="5C4514D0" w14:textId="77777777" w:rsidR="00656D90" w:rsidRDefault="00000000" w:rsidP="00E4750C">
            <w:pPr>
              <w:spacing w:after="60"/>
              <w:jc w:val="center"/>
            </w:pPr>
            <w:r>
              <w:rPr>
                <w:b/>
                <w:bCs/>
                <w:color w:val="FFFFFF"/>
                <w:sz w:val="30"/>
                <w:szCs w:val="30"/>
              </w:rPr>
              <w:t>TERMO DE ABERTURA DO PROJETO – TAP</w:t>
            </w:r>
          </w:p>
          <w:p w14:paraId="613C61C0" w14:textId="77777777" w:rsidR="00656D90" w:rsidRDefault="00000000" w:rsidP="00E4750C">
            <w:pPr>
              <w:jc w:val="center"/>
            </w:pPr>
            <w:r>
              <w:rPr>
                <w:b/>
                <w:bCs/>
                <w:color w:val="FFFFFF"/>
                <w:sz w:val="24"/>
                <w:szCs w:val="24"/>
              </w:rPr>
              <w:t>PROJETO: ROV-MB — AQUISIÇÃO, INTEGRAÇÃO E VALIDAÇÃO DE UM ROV MODULAR</w:t>
            </w:r>
          </w:p>
        </w:tc>
      </w:tr>
    </w:tbl>
    <w:p w14:paraId="7698A835" w14:textId="77777777" w:rsidR="00656D90" w:rsidRDefault="00656D90" w:rsidP="00E4750C">
      <w:pPr>
        <w:spacing w:after="200"/>
        <w:jc w:val="both"/>
      </w:pPr>
    </w:p>
    <w:p w14:paraId="5979F482" w14:textId="77777777" w:rsidR="00656D90" w:rsidRDefault="00000000" w:rsidP="00E4750C">
      <w:pPr>
        <w:spacing w:after="100"/>
        <w:jc w:val="both"/>
      </w:pPr>
      <w:r>
        <w:rPr>
          <w:b/>
          <w:bCs/>
          <w:sz w:val="22"/>
          <w:szCs w:val="22"/>
        </w:rPr>
        <w:t>II – TERMO DE ABERTURA DO PROJETO</w:t>
      </w:r>
    </w:p>
    <w:p w14:paraId="36A617C9" w14:textId="77777777" w:rsidR="00656D90" w:rsidRDefault="00000000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1.</w:t>
      </w:r>
      <w:r>
        <w:rPr>
          <w:b/>
          <w:bCs/>
          <w:sz w:val="22"/>
          <w:szCs w:val="22"/>
        </w:rPr>
        <w:tab/>
        <w:t>DESCRIÇÃO DO PROJETO EM ALTO NÍVEL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6D79CA1A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CEB5DD4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O projeto tem por finalidade especificar, selecionar, adquirir, integrar e validar um veículo submarino operado remotamente (ROV) modular, para apoiar fainas de inspeção visual e busca de objetos submersos da Marinha do Brasil, operando a partir de terra (cais ou margem), em água doce e salgada, em ambientes preferencialmente abrigados.</w:t>
            </w:r>
          </w:p>
          <w:p w14:paraId="0C7B3F66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O ROV terá núcleo operacional comum e arquitetura modular obrigatória, permitindo alterar fainas por meio de aparatos e acessórios compatíveis. O MVP contempla apenas câmera e iluminação, sem sonar e sem garra/manipulador, ainda que a modularidade seja requisito arquitetural desde a primeira configuração.</w:t>
            </w:r>
          </w:p>
          <w:p w14:paraId="6F3BD410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A estratégia preliminar prioriza a aquisição e integração de solução comercial consagrada, com preferência por fornecedores nacionais; a adaptação é admitida e o desenvolvimento do zero é hipótese apenas residual.</w:t>
            </w:r>
          </w:p>
          <w:p w14:paraId="654369DD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A solução apoiará a inspeção de ferro, casco, hélice e estruturas submersas, e a localização visual de objetos no fundo/leito, produzindo imagens e vídeos como resultado principal. Recuperação física, uso de garra e resgate de pessoas ficam fora do MVP.</w:t>
            </w:r>
          </w:p>
          <w:p w14:paraId="66412D75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O valor da solução será demonstrado pelo envelope operacional, capacidade de permanência, modularidade, disponibilidade e potencial de redução da exposição humana — sempre como complemento, nunca substituição, do mergulho.</w:t>
            </w:r>
          </w:p>
        </w:tc>
      </w:tr>
    </w:tbl>
    <w:p w14:paraId="744B3729" w14:textId="77777777" w:rsidR="00656D90" w:rsidRDefault="00000000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2.</w:t>
      </w:r>
      <w:r>
        <w:rPr>
          <w:b/>
          <w:bCs/>
          <w:sz w:val="22"/>
          <w:szCs w:val="22"/>
        </w:rPr>
        <w:tab/>
        <w:t>OBJETIVO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487AC51F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4901982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Adquirir, integrar e validar uma solução ROV modular, operável por uma única pessoa a partir de terra, capaz de produzir imagens subaquáticas úteis para inspeção e localização de objetos em água doce e salgada — profundidade nominal de até 10 m, máxima de 30 m, autonomia mínima de 2h30 — acompanhada de treinamento, sobressalentes, documentação e apoio de manutenção.</w:t>
            </w:r>
          </w:p>
          <w:p w14:paraId="272F3C3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1) Consolidar a necessidade operacional dos Distritos/grupamentos usuários (T0 + 2 meses);</w:t>
            </w:r>
          </w:p>
          <w:p w14:paraId="5A25AEF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2) Definir a solução comercial ou adaptada mais adequada (T0 + 4 meses);</w:t>
            </w:r>
          </w:p>
          <w:p w14:paraId="72B73C22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3) Adquirir e receber a configuração inicial do MVP (T0 + 12 meses);</w:t>
            </w:r>
          </w:p>
          <w:p w14:paraId="7A8AD9D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4) Demonstrar operação segura por uma pessoa treinada;</w:t>
            </w:r>
          </w:p>
          <w:p w14:paraId="3BD3DFC1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5) Demonstrar o envelope operacional aprovado (10 m nominal / 30 m máximo);</w:t>
            </w:r>
          </w:p>
          <w:p w14:paraId="4A3BB013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6) Demonstrar autonomia mínima de 2h30 e registro de imagem (1080p/30fps e 4K/15fps);</w:t>
            </w:r>
          </w:p>
          <w:p w14:paraId="6EDEB53F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7) Preparar a organização para operar e manter a configuração inicial; e</w:t>
            </w:r>
          </w:p>
          <w:p w14:paraId="70DC24C0" w14:textId="06FBCFAB" w:rsidR="00E4750C" w:rsidRPr="00E4750C" w:rsidRDefault="00000000" w:rsidP="00E4750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>8) Avaliar o benefício de redução da exposição humana em reconhecimentos preliminares.</w:t>
            </w:r>
          </w:p>
        </w:tc>
      </w:tr>
    </w:tbl>
    <w:p w14:paraId="481585AB" w14:textId="5E42C397" w:rsidR="00E4750C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>
        <w:rPr>
          <w:b/>
          <w:bCs/>
          <w:sz w:val="22"/>
          <w:szCs w:val="22"/>
        </w:rPr>
        <w:t>REQUISITOS DE ALTO NÍVEL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E4750C" w14:paraId="5B118412" w14:textId="77777777" w:rsidTr="00C6186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BA46B26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1) O ROV deverá possuir arquitetura modular, permitindo a instalação ou substituição de aparatos e acessórios conforme a faina;</w:t>
            </w:r>
          </w:p>
          <w:p w14:paraId="4D8F8E21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2) O sistema deverá ser operável por uma única pessoa treinada, a partir de terra, em cais ou margem;</w:t>
            </w:r>
          </w:p>
          <w:p w14:paraId="6AB8F802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3) O sistema deverá operar em água doce e salgada, preferencialmente em ambientes abrigados;</w:t>
            </w:r>
          </w:p>
          <w:p w14:paraId="4A9FD022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4) A profundidade nominal de operação deverá ser de até 10 m, com profundidade máxima de projeto de 30 m;</w:t>
            </w:r>
          </w:p>
          <w:p w14:paraId="5E7E243F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lastRenderedPageBreak/>
              <w:t>5) A autonomia mínima deverá ser de 2h30 em condição nominal de operação;</w:t>
            </w:r>
          </w:p>
          <w:p w14:paraId="727F2D56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6) O umbilical deverá possuir alcance mínimo de 50 m e mecanismo de recuperação e gestão dinâmica;</w:t>
            </w:r>
          </w:p>
          <w:p w14:paraId="2958E702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 xml:space="preserve">7) O sistema deverá produzir e armazenar imagens e vídeos em 1080p a 30 </w:t>
            </w:r>
            <w:proofErr w:type="spellStart"/>
            <w:r w:rsidRPr="00E4750C">
              <w:rPr>
                <w:sz w:val="22"/>
                <w:szCs w:val="22"/>
              </w:rPr>
              <w:t>fps</w:t>
            </w:r>
            <w:proofErr w:type="spellEnd"/>
            <w:r w:rsidRPr="00E4750C">
              <w:rPr>
                <w:sz w:val="22"/>
                <w:szCs w:val="22"/>
              </w:rPr>
              <w:t xml:space="preserve"> e 4K a 15 </w:t>
            </w:r>
            <w:proofErr w:type="spellStart"/>
            <w:r w:rsidRPr="00E4750C">
              <w:rPr>
                <w:sz w:val="22"/>
                <w:szCs w:val="22"/>
              </w:rPr>
              <w:t>fps</w:t>
            </w:r>
            <w:proofErr w:type="spellEnd"/>
            <w:r w:rsidRPr="00E4750C">
              <w:rPr>
                <w:sz w:val="22"/>
                <w:szCs w:val="22"/>
              </w:rPr>
              <w:t>, conforme especificação final;</w:t>
            </w:r>
          </w:p>
          <w:p w14:paraId="4F9056C7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8) O MVP deverá contemplar câmera e iluminação, sem sonar e sem garra/manipulador;</w:t>
            </w:r>
          </w:p>
          <w:p w14:paraId="01000B1F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9) O sistema deverá apoiar a inspeção visual de ferro, casco, hélice e demais estruturas submersas definidas no CONOPS;</w:t>
            </w:r>
          </w:p>
          <w:p w14:paraId="0B0C6F8F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10) O sistema deverá permitir a localização visual de objetos no fundo ou leito, sem requisito de recuperação física no MVP;</w:t>
            </w:r>
          </w:p>
          <w:p w14:paraId="342D7F1D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11) O sistema deverá possuir comportamentos de proteção para situações de impacto, perda de comunicação ou carga anormal associada ao umbilical;</w:t>
            </w:r>
          </w:p>
          <w:p w14:paraId="4CA11CCA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12) O sistema deverá possuir procedimentos de operação, lançamento, gestão do fio, recuperação, lavagem, dessalinização, armazenamento e transporte;</w:t>
            </w:r>
          </w:p>
          <w:p w14:paraId="608A5B1E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13) O fornecedor deverá fornecer treinamento básico, documentação técnica e sobressalentes iniciais;</w:t>
            </w:r>
          </w:p>
          <w:p w14:paraId="5EC8DC1E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14) A solução deverá considerar vida útil de projeto de 10 anos e apoio de manutenção por cinco anos;</w:t>
            </w:r>
          </w:p>
          <w:p w14:paraId="603BFA96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15) A solução deverá ser submetida a testes de bancada e de campo, em água doce e salgada, com critérios de aceitação previamente definidos;</w:t>
            </w:r>
          </w:p>
          <w:p w14:paraId="13AE49EE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16) A solução deverá priorizar fornecedores e cadeia de suprimentos nacionais quando compatível com os requisitos técnicos, operacionais e de disponibilidade;</w:t>
            </w:r>
          </w:p>
          <w:p w14:paraId="43498075" w14:textId="77777777" w:rsidR="00E4750C" w:rsidRPr="00E4750C" w:rsidRDefault="00E4750C" w:rsidP="00E4750C">
            <w:pPr>
              <w:spacing w:after="10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17) Os resultados principais do MVP deverão ser imagens e registros associados às missões de inspeção e busca;</w:t>
            </w:r>
          </w:p>
          <w:p w14:paraId="0A00C851" w14:textId="1246803A" w:rsidR="00E4750C" w:rsidRPr="00E4750C" w:rsidRDefault="00E4750C" w:rsidP="00E4750C">
            <w:pPr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18) Os requisitos deverão ser rastreáveis aos critérios de aceitação e aprovados pela autoridade competente.</w:t>
            </w:r>
          </w:p>
        </w:tc>
      </w:tr>
    </w:tbl>
    <w:p w14:paraId="4D28E490" w14:textId="59B4B7EB" w:rsidR="00E4750C" w:rsidRPr="00E4750C" w:rsidRDefault="00E4750C" w:rsidP="00E4750C">
      <w:pPr>
        <w:spacing w:before="240" w:after="1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lastRenderedPageBreak/>
        <w:t xml:space="preserve">4. </w:t>
      </w:r>
      <w:r>
        <w:rPr>
          <w:b/>
          <w:bCs/>
          <w:sz w:val="22"/>
          <w:szCs w:val="22"/>
        </w:rPr>
        <w:tab/>
        <w:t xml:space="preserve">ENTREGAS-CHAVE </w:t>
      </w:r>
      <w:r>
        <w:rPr>
          <w:b/>
          <w:bCs/>
          <w:sz w:val="22"/>
          <w:szCs w:val="22"/>
        </w:rPr>
        <w:t>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E4750C" w14:paraId="7B1D8C73" w14:textId="77777777" w:rsidTr="00C6186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23277AE0" w14:textId="2E3E1235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1) TAP e registro de premissas, objetivos, limites, riscos iniciais e autoridade de aprovação;</w:t>
            </w:r>
          </w:p>
          <w:p w14:paraId="20A03E4A" w14:textId="1E4D3E2B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2) Necessidade operacional e mapa de usuários, contemplando Distritos, grupamentos e militares especializados;</w:t>
            </w:r>
          </w:p>
          <w:p w14:paraId="29BEBAAC" w14:textId="1456B2F8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3) CONOPS e envelope operacional, definindo emprego, preparação, operação, recuperação, limites e cenários;</w:t>
            </w:r>
          </w:p>
          <w:p w14:paraId="0C307727" w14:textId="5D1C822C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4) Requisitos de alto nível e critérios de aceitação do produto e do projeto;</w:t>
            </w:r>
          </w:p>
          <w:p w14:paraId="54471B4B" w14:textId="29BAC706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5) Estudo de mercado e análise das alternativas de fornecimento, incluindo soluções comerciais, adaptação, cadeia nacional e custo total de propriedade;</w:t>
            </w:r>
          </w:p>
          <w:p w14:paraId="5833F230" w14:textId="7D720060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6) Arquitetura modular e especificação técnica, contemplando núcleo, interfaces, configuração do MVP, umbilical, gestão dinâmica e estados seguros;</w:t>
            </w:r>
          </w:p>
          <w:p w14:paraId="1274A1FA" w14:textId="198562DB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7) ROV adquirido, recebido, integrado e configurado conforme a solução aprovada;</w:t>
            </w:r>
          </w:p>
          <w:p w14:paraId="29249BF1" w14:textId="2D2E2854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8) Plano, procedimentos e evidências de testes de bancada, água doce e água salgada;</w:t>
            </w:r>
          </w:p>
          <w:p w14:paraId="3899E910" w14:textId="5ECDDDE7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9) Capacitação, documentação, sobressalentes e plano de manutenção;</w:t>
            </w:r>
          </w:p>
          <w:p w14:paraId="1AFAF6F2" w14:textId="1AC6DA63" w:rsidR="00E4750C" w:rsidRPr="00E4750C" w:rsidRDefault="00E4750C" w:rsidP="00E4750C">
            <w:pPr>
              <w:spacing w:after="60"/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10) Piloto operacional e relatório de avaliação dos resultados, desempenho, limites e benefícios;</w:t>
            </w:r>
          </w:p>
          <w:p w14:paraId="606AC53D" w14:textId="28E073F6" w:rsidR="00E4750C" w:rsidRDefault="00E4750C" w:rsidP="00E4750C">
            <w:pPr>
              <w:jc w:val="both"/>
            </w:pPr>
            <w:r w:rsidRPr="00E4750C">
              <w:rPr>
                <w:sz w:val="22"/>
                <w:szCs w:val="22"/>
              </w:rPr>
              <w:t>11) Documentação final, aceite, transferência, lições aprendidas, recomendação de continuidade e encerramento do projeto.</w:t>
            </w:r>
          </w:p>
        </w:tc>
      </w:tr>
    </w:tbl>
    <w:p w14:paraId="0D6391FD" w14:textId="77777777" w:rsidR="00E4750C" w:rsidRDefault="00E4750C" w:rsidP="00E4750C">
      <w:pPr>
        <w:spacing w:before="240" w:after="100"/>
        <w:jc w:val="both"/>
        <w:rPr>
          <w:b/>
          <w:bCs/>
          <w:sz w:val="22"/>
          <w:szCs w:val="22"/>
        </w:rPr>
      </w:pPr>
    </w:p>
    <w:p w14:paraId="70783439" w14:textId="0F6EFF71" w:rsidR="00E4750C" w:rsidRPr="00E4750C" w:rsidRDefault="00E4750C" w:rsidP="00E4750C">
      <w:pPr>
        <w:spacing w:before="240" w:after="100"/>
        <w:jc w:val="both"/>
        <w:rPr>
          <w:b/>
          <w:bCs/>
          <w:sz w:val="22"/>
          <w:szCs w:val="22"/>
        </w:rPr>
      </w:pPr>
      <w:r>
        <w:rPr>
          <w:b/>
          <w:bCs/>
          <w:sz w:val="22"/>
          <w:szCs w:val="22"/>
        </w:rPr>
        <w:t>5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JUSTIFICATIVAS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3B5551F4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1CAB3B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1) Operacional — amplia as alternativas dos Distritos e grupamentos para inspeções e buscas em locais submersos;</w:t>
            </w:r>
          </w:p>
          <w:p w14:paraId="285D6EE4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lastRenderedPageBreak/>
              <w:t>2) Segurança e exposição humana — apoia a avaliação preliminar de estruturas submersas antes do emprego de mergulhadores, sem eliminar seus requisitos de segurança;</w:t>
            </w:r>
          </w:p>
          <w:p w14:paraId="2373DA8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3) Permanência e repetibilidade — autonomia mínima de 2h30 e registro de imagens permitem documentar e revisar uma faina posteriormente;</w:t>
            </w:r>
          </w:p>
          <w:p w14:paraId="2E931B4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4) Modularidade — um núcleo comum poderá receber aparatos em fases distintas, conforme necessidade operacional e disponibilidade orçamentária; e</w:t>
            </w:r>
          </w:p>
          <w:p w14:paraId="5C8A290A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5) Sustentabilidade da cadeia de suprimento — preferência por fornecedores nacionais, sobressalentes, treinamento e apoio de manutenção por cinco anos.</w:t>
            </w:r>
          </w:p>
        </w:tc>
      </w:tr>
    </w:tbl>
    <w:p w14:paraId="5335D801" w14:textId="2F67FA8A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lastRenderedPageBreak/>
        <w:t>6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RESTRIÇÕES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09B1DC55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AC7A73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1) Operação do MVP somente a partir de terra, em cais ou margem;</w:t>
            </w:r>
          </w:p>
          <w:p w14:paraId="1AE270AF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2) Profundidade nominal de 10 m e máxima de 30 m;</w:t>
            </w:r>
          </w:p>
          <w:p w14:paraId="7C09BA6B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3) Emprego em água doce e salgada, preferencialmente em locais abrigados, sem alto-mar;</w:t>
            </w:r>
          </w:p>
          <w:p w14:paraId="1C419AB4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4) Vedada a operação em rebojo perigoso ou com correnteza acima de 5 nós;</w:t>
            </w:r>
          </w:p>
          <w:p w14:paraId="1BD89A3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5) Interrupção obrigatória fora do limite de visibilidade aprovado (interpretação do valor de 30 cm a confirmar);</w:t>
            </w:r>
          </w:p>
          <w:p w14:paraId="5FA1445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6) O MVP não terá sonar, garra/manipulador nem capacidade de recuperação física de objetos;</w:t>
            </w:r>
          </w:p>
          <w:p w14:paraId="48C789F5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7) O umbilical terá alcance mínimo de 50 m e mecanismo de recuperação/gestão dinâmica;</w:t>
            </w:r>
          </w:p>
          <w:p w14:paraId="2A04595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8) O orçamento ainda não está pré-aprovado e deverá incorporar aquisição, suporte, sobressalentes, treinamento e ciclo de vida; e</w:t>
            </w:r>
          </w:p>
          <w:p w14:paraId="03E52B11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9) A aprovação de requisitos, solução, testes e recebimento dependerá da Força de Submarinos.</w:t>
            </w:r>
          </w:p>
        </w:tc>
      </w:tr>
    </w:tbl>
    <w:p w14:paraId="075E625A" w14:textId="714C4663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7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RESUMO DO ORÇAMENTO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1A61ADEF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4AEFD662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Não há, nesta versão, valor financeiro pré-aprovado. O orçamento será estimado pelo custo total de propriedade ao longo da vida útil de 10 anos, incluindo apoio de manutenção por 5 anos, considerando os seguintes grupos de custo:</w:t>
            </w:r>
          </w:p>
          <w:p w14:paraId="6E005693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1) Aquisição do sistema (ROV, estação de controle, umbilical, energia, câmera, iluminação e estrutura do MVP);</w:t>
            </w:r>
          </w:p>
          <w:p w14:paraId="1E06319A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2) Modularidade e acessórios (interfaces, aparatos futuros, adaptações);</w:t>
            </w:r>
          </w:p>
          <w:p w14:paraId="6EA99F82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3) Integração e configuração (montagem, software, documentação);</w:t>
            </w:r>
          </w:p>
          <w:p w14:paraId="7C5931C3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4) Testes e apoio (áreas, meios, transporte, autorizações e segurança);</w:t>
            </w:r>
          </w:p>
          <w:p w14:paraId="04D7097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5) Capacitação e documentação (curso básico, manuais, treinamento);</w:t>
            </w:r>
          </w:p>
          <w:p w14:paraId="4893DFCB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6) Sobressalentes e manutenção (peças iniciais, ferramentas, contrato de 5 anos);</w:t>
            </w:r>
          </w:p>
          <w:p w14:paraId="6BFD515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7) Ciclo de vida (atualizações, suporte, disponibilidade, descarte); e</w:t>
            </w:r>
          </w:p>
          <w:p w14:paraId="7026C508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8) Reserva de contingência técnica, de suprimento e de variação de preços.</w:t>
            </w:r>
          </w:p>
        </w:tc>
      </w:tr>
    </w:tbl>
    <w:p w14:paraId="305A5E33" w14:textId="12968D9D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8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LISTA DAS PARTES INTERESSADAS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50F1088B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15DCA318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1) Força de Submarinos — autoridade de aprovação;</w:t>
            </w:r>
          </w:p>
          <w:p w14:paraId="4C699E05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2) Distritos e grupamentos — usuários operacionais;</w:t>
            </w:r>
          </w:p>
          <w:p w14:paraId="0ADFF88A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3) Militares especializados — operadores e mantenedores;</w:t>
            </w:r>
          </w:p>
          <w:p w14:paraId="4D4E8DFD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4) Mergulhadores e especialistas SAR;</w:t>
            </w:r>
          </w:p>
          <w:p w14:paraId="59AA042A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5) Engenharia e manutenção;</w:t>
            </w:r>
          </w:p>
          <w:p w14:paraId="6A6EB69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6) Logística e cadeia de suprimento;</w:t>
            </w:r>
          </w:p>
          <w:p w14:paraId="3460B2CD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7) Setores de aquisição e assessoria jurídica;</w:t>
            </w:r>
          </w:p>
          <w:p w14:paraId="7CB82F6C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8) Fornecedores nacionais e integradores;</w:t>
            </w:r>
          </w:p>
          <w:p w14:paraId="410030FB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9) Áreas de ciência, tecnologia e inovação;</w:t>
            </w:r>
          </w:p>
          <w:p w14:paraId="3F63D27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lastRenderedPageBreak/>
              <w:t>10) Autoridades de segurança e áreas de teste; e</w:t>
            </w:r>
          </w:p>
          <w:p w14:paraId="738F0649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11) Patrocinador do projeto.</w:t>
            </w:r>
          </w:p>
        </w:tc>
      </w:tr>
    </w:tbl>
    <w:p w14:paraId="49E1973C" w14:textId="4CEAAF74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lastRenderedPageBreak/>
        <w:t>9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RISCOS DE ALTO NÍVEL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637814DF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E73B15C" w14:textId="77777777" w:rsidR="00656D90" w:rsidRDefault="00000000" w:rsidP="00E4750C">
            <w:pPr>
              <w:spacing w:after="80"/>
              <w:jc w:val="both"/>
            </w:pPr>
            <w:r>
              <w:rPr>
                <w:b/>
                <w:bCs/>
                <w:sz w:val="22"/>
                <w:szCs w:val="22"/>
              </w:rPr>
              <w:t>Descrição dos Riscos (ameaças):</w:t>
            </w:r>
          </w:p>
          <w:p w14:paraId="67680B15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1.1) Requisitos divergentes entre usuários, engenharia e Força de Submarinos, gerando retrabalho;</w:t>
            </w:r>
          </w:p>
          <w:p w14:paraId="1D7E1DCA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1.2) Modularidade declarada sem interfaces ou critérios verificáveis, criando dependência do fornecedor;</w:t>
            </w:r>
          </w:p>
          <w:p w14:paraId="0A499D36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1.3) Desempenho insuficiente em turbidez, correnteza ou obstáculos, causando perda de missão;</w:t>
            </w:r>
          </w:p>
          <w:p w14:paraId="4520D764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1.4) Falha de vedação, corrosão, propulsão ou alimentação, causando indisponibilidade do equipamento;</w:t>
            </w:r>
          </w:p>
          <w:p w14:paraId="17F3E8B4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1.5) Perda de comunicação ou rompimento/enrosco do umbilical, causando perda do ROV;</w:t>
            </w:r>
          </w:p>
          <w:p w14:paraId="0332FEE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1.6) Interpretação inadequada do limite de visibilidade de 30 cm, causando operação insegura;</w:t>
            </w:r>
          </w:p>
          <w:p w14:paraId="5669E8FD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1.7) Dependência de fornecedor ou componentes sem suporte por 10 anos; e</w:t>
            </w:r>
          </w:p>
          <w:p w14:paraId="381C2288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1.8) Atraso em contratação, autorização de área ou disponibilidade de água doce/salgada.</w:t>
            </w:r>
          </w:p>
          <w:p w14:paraId="2A65861D" w14:textId="77777777" w:rsidR="00656D90" w:rsidRDefault="00000000" w:rsidP="00E4750C">
            <w:pPr>
              <w:spacing w:before="120" w:after="80"/>
              <w:jc w:val="both"/>
            </w:pPr>
            <w:r>
              <w:rPr>
                <w:b/>
                <w:bCs/>
                <w:sz w:val="22"/>
                <w:szCs w:val="22"/>
              </w:rPr>
              <w:t>Descrição das Oportunidades:</w:t>
            </w:r>
          </w:p>
          <w:p w14:paraId="13D6BDAF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2.1) Existência de soluções comerciais consagradas pode reduzir prazo e custo de aquisição; e</w:t>
            </w:r>
          </w:p>
          <w:p w14:paraId="3037B06D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2.2) Preferência por cadeia nacional pode ampliar a disponibilidade de suporte e sobressalentes.</w:t>
            </w:r>
          </w:p>
        </w:tc>
      </w:tr>
    </w:tbl>
    <w:p w14:paraId="10C58F99" w14:textId="2BA7332A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10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INDICADORES CHAVE DO SUCESSO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64DC136F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0622993B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8.1) MVP recebido, integrado e configurado dentro do prazo aprovado;</w:t>
            </w:r>
          </w:p>
          <w:p w14:paraId="785D2C32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8.2) 100% dos testes críticos aprovados antes do piloto operacional;</w:t>
            </w:r>
          </w:p>
          <w:p w14:paraId="29756A1C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8.3) Envelope operacional demonstrado (10 m nominal / 30 m máximo; autonomia ≥ 2h30);</w:t>
            </w:r>
          </w:p>
          <w:p w14:paraId="187475E3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8.4) Curso básico, sobressalentes, documentação e plano de manutenção entregues; e</w:t>
            </w:r>
          </w:p>
          <w:p w14:paraId="46DB4468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8.5) Piloto operacional avaliado e aprovado pela Força de Submarinos.</w:t>
            </w:r>
          </w:p>
        </w:tc>
      </w:tr>
    </w:tbl>
    <w:p w14:paraId="69E2785E" w14:textId="1F35E501" w:rsidR="00656D90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11</w:t>
      </w:r>
      <w:r w:rsidR="00000000">
        <w:rPr>
          <w:b/>
          <w:bCs/>
          <w:sz w:val="22"/>
          <w:szCs w:val="22"/>
        </w:rPr>
        <w:t>.</w:t>
      </w:r>
      <w:r w:rsidR="00000000">
        <w:rPr>
          <w:b/>
          <w:bCs/>
          <w:sz w:val="22"/>
          <w:szCs w:val="22"/>
        </w:rPr>
        <w:tab/>
        <w:t>RESUMO DO CRONOGRAMA DE MARCOS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6A0E3A03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30308F55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M-01) TAP, premissas e autoridade de aprovação revisados: T0 + 1 mês;</w:t>
            </w:r>
          </w:p>
          <w:p w14:paraId="51F779E8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M-02) Necessidade e CONOPS preliminar definidos: T0 + 2 meses;</w:t>
            </w:r>
          </w:p>
          <w:p w14:paraId="1E0CA4CE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M-03) Requisitos e envelope operacional aprovados: T0 + 3 meses;</w:t>
            </w:r>
          </w:p>
          <w:p w14:paraId="661B3F6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M-04) Pesquisa de mercado e custo total de propriedade concluídos: T0 + 4 meses;</w:t>
            </w:r>
          </w:p>
          <w:p w14:paraId="3E5C9169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M-05) Arquitetura modular e estratégia de fornecimento aprovadas: T0 + 6 meses;</w:t>
            </w:r>
          </w:p>
          <w:p w14:paraId="00434310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M-06) Contratação ou aquisição autorizada: T0 + 8 meses;</w:t>
            </w:r>
          </w:p>
          <w:p w14:paraId="2F706F17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M-07) ROV recebido e integração de bancada concluída: T0 + 12 meses;</w:t>
            </w:r>
          </w:p>
          <w:p w14:paraId="07629AA1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M-08) Testes de bancada, segurança e autonomia concluídos: T0 + 14 meses;</w:t>
            </w:r>
          </w:p>
          <w:p w14:paraId="6CD2C91C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M-09) Testes em água doce e salgada concluídos: T0 + 16 meses; e</w:t>
            </w:r>
          </w:p>
          <w:p w14:paraId="6D7A20F8" w14:textId="77777777" w:rsidR="00656D90" w:rsidRDefault="00000000" w:rsidP="00E4750C">
            <w:pPr>
              <w:spacing w:after="60"/>
              <w:jc w:val="both"/>
            </w:pPr>
            <w:r>
              <w:rPr>
                <w:sz w:val="22"/>
                <w:szCs w:val="22"/>
              </w:rPr>
              <w:t>M-10) Capacitação, piloto e encerramento concluídos: T0 + 18 meses.</w:t>
            </w:r>
          </w:p>
          <w:p w14:paraId="014FB638" w14:textId="77777777" w:rsidR="00656D90" w:rsidRDefault="00000000" w:rsidP="00E4750C">
            <w:pPr>
              <w:spacing w:before="100"/>
              <w:jc w:val="both"/>
            </w:pPr>
            <w:r>
              <w:rPr>
                <w:i/>
                <w:iCs/>
              </w:rPr>
              <w:t>Os marcos são preliminares e dependem da modalidade de contratação, disponibilidade do fornecedor e aprovação da Força de Submarinos.</w:t>
            </w:r>
          </w:p>
        </w:tc>
      </w:tr>
    </w:tbl>
    <w:p w14:paraId="3ED483B8" w14:textId="7FA5F24C" w:rsidR="00656D90" w:rsidRDefault="00000000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</w:t>
      </w:r>
      <w:r w:rsidR="00E4750C">
        <w:rPr>
          <w:b/>
          <w:bCs/>
          <w:sz w:val="22"/>
          <w:szCs w:val="22"/>
        </w:rPr>
        <w:t>2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  <w:t>GERENTE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1C1A2328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79CE0E18" w14:textId="77777777" w:rsidR="00656D90" w:rsidRDefault="00000000" w:rsidP="00E4750C">
            <w:pPr>
              <w:spacing w:after="100"/>
              <w:jc w:val="both"/>
            </w:pPr>
            <w:r>
              <w:rPr>
                <w:sz w:val="22"/>
                <w:szCs w:val="22"/>
              </w:rPr>
              <w:t>A designar pela organização responsável. Responsabilidades preliminares: coordenar a equipe; consolidar requisitos; manter o TAP, a EAP e os registros de premissas, riscos, decisões e mudanças; integrar usuários, engenharia, aquisição, fornecedor, testes e capacitação; reportar desempenho; e submeter decisões à Força de Submarinos.</w:t>
            </w:r>
          </w:p>
          <w:p w14:paraId="70FFB044" w14:textId="7777777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lastRenderedPageBreak/>
              <w:t>Nível de autoridade proposto: organizar o trabalho, convocar reuniões e propor decisões dentro dos limites aprovados — sem autoridade, neste rascunho, para autorizar contratação, alterar requisitos críticos ou liberar emprego operacional.</w:t>
            </w:r>
          </w:p>
        </w:tc>
      </w:tr>
    </w:tbl>
    <w:p w14:paraId="31C37226" w14:textId="5BB201B0" w:rsidR="00656D90" w:rsidRDefault="00000000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lastRenderedPageBreak/>
        <w:t>1</w:t>
      </w:r>
      <w:r w:rsidR="00E4750C">
        <w:rPr>
          <w:b/>
          <w:bCs/>
          <w:sz w:val="22"/>
          <w:szCs w:val="22"/>
        </w:rPr>
        <w:t>3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  <w:t>PATROCINADOR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656D90" w14:paraId="1CD4F01C" w14:textId="7777777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B37F9AC" w14:textId="77777777" w:rsidR="00E4750C" w:rsidRDefault="00000000" w:rsidP="00E4750C">
            <w:pPr>
              <w:jc w:val="both"/>
              <w:rPr>
                <w:sz w:val="22"/>
                <w:szCs w:val="22"/>
              </w:rPr>
            </w:pPr>
            <w:r>
              <w:rPr>
                <w:sz w:val="22"/>
                <w:szCs w:val="22"/>
              </w:rPr>
              <w:t xml:space="preserve">Patrocinador: representante a designar pela organização demandante. </w:t>
            </w:r>
          </w:p>
          <w:p w14:paraId="31FEF39F" w14:textId="46FCCC57" w:rsidR="00656D90" w:rsidRDefault="00000000" w:rsidP="00E4750C">
            <w:pPr>
              <w:jc w:val="both"/>
            </w:pPr>
            <w:r>
              <w:rPr>
                <w:sz w:val="22"/>
                <w:szCs w:val="22"/>
              </w:rPr>
              <w:t>Autoridade de aprovação: Força de Submarinos, responsável por aprovar requisitos, configuração do MVP, estratégia de fornecimento, critérios de teste, recebimento, piloto, continuidade e encerramento do projeto.</w:t>
            </w:r>
          </w:p>
        </w:tc>
      </w:tr>
    </w:tbl>
    <w:p w14:paraId="7A284106" w14:textId="76F518B5" w:rsidR="00E4750C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4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 w:rsidRPr="00E4750C">
        <w:rPr>
          <w:b/>
          <w:bCs/>
          <w:sz w:val="22"/>
          <w:szCs w:val="22"/>
        </w:rPr>
        <w:t>REQUISITOS PARA APROVAÇÃO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E4750C" w14:paraId="3B7FB09A" w14:textId="77777777" w:rsidTr="00C6186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53EE4675" w14:textId="77777777" w:rsidR="00E4750C" w:rsidRPr="00E4750C" w:rsidRDefault="00E4750C" w:rsidP="00E4750C">
            <w:pPr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O projeto será considerado aprovado quando houver necessidade operacional reconhecida; autoridade de aprovação definida; gerente e patrocinador designados; usuários representativos identificados; objetivos mensuráveis aceitos; escopo e limites de alto nível definidos; requisitos e critérios de sucesso estabelecidos; riscos iniciais registrados; e recursos necessários à continuidade do planejamento autorizados pela autoridade competente.</w:t>
            </w:r>
          </w:p>
          <w:p w14:paraId="7711E83E" w14:textId="77777777" w:rsidR="00E4750C" w:rsidRPr="00E4750C" w:rsidRDefault="00E4750C" w:rsidP="00E4750C">
            <w:pPr>
              <w:jc w:val="both"/>
              <w:rPr>
                <w:sz w:val="22"/>
                <w:szCs w:val="22"/>
              </w:rPr>
            </w:pPr>
          </w:p>
          <w:p w14:paraId="21906502" w14:textId="05078864" w:rsidR="00E4750C" w:rsidRDefault="00E4750C" w:rsidP="00E4750C">
            <w:pPr>
              <w:jc w:val="both"/>
            </w:pPr>
            <w:r w:rsidRPr="00E4750C">
              <w:rPr>
                <w:sz w:val="22"/>
                <w:szCs w:val="22"/>
              </w:rPr>
              <w:t>A aprovação do projeto não representa, por si só, autorização para contratação, aquisição ou emprego operacional do ROV, devendo essas decisões observar as aprovações institucionais aplicáveis.</w:t>
            </w:r>
          </w:p>
        </w:tc>
      </w:tr>
    </w:tbl>
    <w:p w14:paraId="2CA6EA99" w14:textId="2CEB962C" w:rsidR="00E4750C" w:rsidRDefault="00E4750C" w:rsidP="00E4750C">
      <w:pPr>
        <w:spacing w:before="240" w:after="100"/>
        <w:jc w:val="both"/>
      </w:pPr>
      <w:r>
        <w:rPr>
          <w:b/>
          <w:bCs/>
          <w:sz w:val="22"/>
          <w:szCs w:val="22"/>
        </w:rPr>
        <w:t>1</w:t>
      </w:r>
      <w:r>
        <w:rPr>
          <w:b/>
          <w:bCs/>
          <w:sz w:val="22"/>
          <w:szCs w:val="22"/>
        </w:rPr>
        <w:t>5</w:t>
      </w:r>
      <w:r>
        <w:rPr>
          <w:b/>
          <w:bCs/>
          <w:sz w:val="22"/>
          <w:szCs w:val="22"/>
        </w:rPr>
        <w:t>.</w:t>
      </w:r>
      <w:r>
        <w:rPr>
          <w:b/>
          <w:bCs/>
          <w:sz w:val="22"/>
          <w:szCs w:val="22"/>
        </w:rPr>
        <w:tab/>
      </w:r>
      <w:r w:rsidRPr="00E4750C">
        <w:rPr>
          <w:b/>
          <w:bCs/>
          <w:sz w:val="22"/>
          <w:szCs w:val="22"/>
        </w:rPr>
        <w:t>CRITÉRIOS DE TÉRMINO DO PROJETO</w:t>
      </w:r>
    </w:p>
    <w:tbl>
      <w:tblPr>
        <w:tblW w:w="5000" w:type="pct"/>
        <w:tblBorders>
          <w:top w:val="single" w:sz="8" w:space="0" w:color="C00000"/>
          <w:left w:val="single" w:sz="8" w:space="0" w:color="C00000"/>
          <w:bottom w:val="single" w:sz="8" w:space="0" w:color="C00000"/>
          <w:right w:val="single" w:sz="8" w:space="0" w:color="C00000"/>
          <w:insideH w:val="single" w:sz="4" w:space="0" w:color="auto"/>
          <w:insideV w:val="single" w:sz="4" w:space="0" w:color="auto"/>
        </w:tblBorders>
        <w:tblLayout w:type="fixed"/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686"/>
      </w:tblGrid>
      <w:tr w:rsidR="00E4750C" w14:paraId="7F592B32" w14:textId="77777777" w:rsidTr="00C61867">
        <w:tc>
          <w:tcPr>
            <w:tcW w:w="5000" w:type="pct"/>
            <w:tcBorders>
              <w:top w:val="single" w:sz="8" w:space="0" w:color="C00000"/>
              <w:left w:val="single" w:sz="8" w:space="0" w:color="C00000"/>
              <w:bottom w:val="single" w:sz="8" w:space="0" w:color="C00000"/>
              <w:right w:val="single" w:sz="8" w:space="0" w:color="C00000"/>
            </w:tcBorders>
            <w:tcMar>
              <w:top w:w="120" w:type="dxa"/>
              <w:left w:w="150" w:type="dxa"/>
              <w:bottom w:w="120" w:type="dxa"/>
              <w:right w:w="150" w:type="dxa"/>
            </w:tcMar>
          </w:tcPr>
          <w:p w14:paraId="6247E1AE" w14:textId="77777777" w:rsidR="00E4750C" w:rsidRPr="00E4750C" w:rsidRDefault="00E4750C" w:rsidP="00E4750C">
            <w:pPr>
              <w:jc w:val="both"/>
              <w:rPr>
                <w:sz w:val="22"/>
                <w:szCs w:val="22"/>
              </w:rPr>
            </w:pPr>
            <w:r w:rsidRPr="00E4750C">
              <w:rPr>
                <w:sz w:val="22"/>
                <w:szCs w:val="22"/>
              </w:rPr>
              <w:t>O projeto poderá ser encerrado quando a configuração aprovada do ROV tiver sido recebida e integrada; os testes críticos forem concluídos ou formalmente dispensados; os critérios de profundidade, autonomia, vídeo, operação e segurança forem demonstrados ou formalmente aceitos; o treinamento, os sobressalentes, a documentação e o plano de manutenção forem entregues; as pendências forem aceitas ou transferidas; o piloto operacional tiver sido avaliado; e a Força de Submarinos aprovar formalmente o encerramento e a recomendação de continuidade.</w:t>
            </w:r>
          </w:p>
          <w:p w14:paraId="7AA9C865" w14:textId="77777777" w:rsidR="00E4750C" w:rsidRPr="00E4750C" w:rsidRDefault="00E4750C" w:rsidP="00E4750C">
            <w:pPr>
              <w:jc w:val="both"/>
              <w:rPr>
                <w:sz w:val="22"/>
                <w:szCs w:val="22"/>
              </w:rPr>
            </w:pPr>
          </w:p>
          <w:p w14:paraId="2595CFFF" w14:textId="5E79B204" w:rsidR="00E4750C" w:rsidRDefault="00E4750C" w:rsidP="00E4750C">
            <w:pPr>
              <w:jc w:val="both"/>
            </w:pPr>
            <w:r w:rsidRPr="00E4750C">
              <w:rPr>
                <w:sz w:val="22"/>
                <w:szCs w:val="22"/>
              </w:rPr>
              <w:t>O projeto poderá ser redirecionado ou encerrado antecipadamente caso não seja identificada solução adequada no mercado, o envelope operacional não possa ser demonstrado com segurança, os requisitos de modularidade não possam ser atendidos, o custo total de propriedade seja incompatível com o benefício esperado ou a autoridade competente determine que a necessidade deixou de existir.</w:t>
            </w:r>
          </w:p>
        </w:tc>
      </w:tr>
    </w:tbl>
    <w:p w14:paraId="300C1161" w14:textId="77777777" w:rsidR="00656D90" w:rsidRDefault="00656D90" w:rsidP="00E4750C">
      <w:pPr>
        <w:spacing w:before="500"/>
        <w:jc w:val="both"/>
      </w:pPr>
    </w:p>
    <w:p w14:paraId="5A037A59" w14:textId="77777777" w:rsidR="00656D90" w:rsidRDefault="00000000" w:rsidP="00E4750C">
      <w:pPr>
        <w:pBdr>
          <w:top w:val="single" w:sz="6" w:space="1" w:color="000000"/>
        </w:pBdr>
        <w:jc w:val="both"/>
      </w:pPr>
      <w:r>
        <w:rPr>
          <w:sz w:val="22"/>
          <w:szCs w:val="22"/>
        </w:rPr>
        <w:t xml:space="preserve">                                                                                    </w:t>
      </w:r>
    </w:p>
    <w:p w14:paraId="52798671" w14:textId="77777777" w:rsidR="00656D90" w:rsidRDefault="00000000" w:rsidP="00E4750C">
      <w:pPr>
        <w:spacing w:before="100"/>
        <w:jc w:val="both"/>
      </w:pPr>
      <w:r>
        <w:rPr>
          <w:b/>
          <w:bCs/>
          <w:sz w:val="22"/>
          <w:szCs w:val="22"/>
        </w:rPr>
        <w:t>Assinatura do Responsável pela Autorização do Início do Projeto</w:t>
      </w:r>
    </w:p>
    <w:sectPr w:rsidR="00656D90">
      <w:pgSz w:w="11906" w:h="16838"/>
      <w:pgMar w:top="1000" w:right="1100" w:bottom="1000" w:left="11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6F17F7A"/>
    <w:multiLevelType w:val="hybridMultilevel"/>
    <w:tmpl w:val="612A10DE"/>
    <w:lvl w:ilvl="0" w:tplc="864EF722">
      <w:start w:val="1"/>
      <w:numFmt w:val="bullet"/>
      <w:lvlText w:val="●"/>
      <w:lvlJc w:val="left"/>
      <w:pPr>
        <w:ind w:left="720" w:hanging="360"/>
      </w:pPr>
    </w:lvl>
    <w:lvl w:ilvl="1" w:tplc="5694BEF0">
      <w:start w:val="1"/>
      <w:numFmt w:val="bullet"/>
      <w:lvlText w:val="○"/>
      <w:lvlJc w:val="left"/>
      <w:pPr>
        <w:ind w:left="1440" w:hanging="360"/>
      </w:pPr>
    </w:lvl>
    <w:lvl w:ilvl="2" w:tplc="AAD08336">
      <w:start w:val="1"/>
      <w:numFmt w:val="bullet"/>
      <w:lvlText w:val="■"/>
      <w:lvlJc w:val="left"/>
      <w:pPr>
        <w:ind w:left="2160" w:hanging="360"/>
      </w:pPr>
    </w:lvl>
    <w:lvl w:ilvl="3" w:tplc="24DC7B58">
      <w:start w:val="1"/>
      <w:numFmt w:val="bullet"/>
      <w:lvlText w:val="●"/>
      <w:lvlJc w:val="left"/>
      <w:pPr>
        <w:ind w:left="2880" w:hanging="360"/>
      </w:pPr>
    </w:lvl>
    <w:lvl w:ilvl="4" w:tplc="63D8AF18">
      <w:start w:val="1"/>
      <w:numFmt w:val="bullet"/>
      <w:lvlText w:val="○"/>
      <w:lvlJc w:val="left"/>
      <w:pPr>
        <w:ind w:left="3600" w:hanging="360"/>
      </w:pPr>
    </w:lvl>
    <w:lvl w:ilvl="5" w:tplc="D332A50A">
      <w:start w:val="1"/>
      <w:numFmt w:val="bullet"/>
      <w:lvlText w:val="■"/>
      <w:lvlJc w:val="left"/>
      <w:pPr>
        <w:ind w:left="4320" w:hanging="360"/>
      </w:pPr>
    </w:lvl>
    <w:lvl w:ilvl="6" w:tplc="EE664F72">
      <w:start w:val="1"/>
      <w:numFmt w:val="bullet"/>
      <w:lvlText w:val="●"/>
      <w:lvlJc w:val="left"/>
      <w:pPr>
        <w:ind w:left="5040" w:hanging="360"/>
      </w:pPr>
    </w:lvl>
    <w:lvl w:ilvl="7" w:tplc="1D54A964">
      <w:start w:val="1"/>
      <w:numFmt w:val="bullet"/>
      <w:lvlText w:val="●"/>
      <w:lvlJc w:val="left"/>
      <w:pPr>
        <w:ind w:left="5760" w:hanging="360"/>
      </w:pPr>
    </w:lvl>
    <w:lvl w:ilvl="8" w:tplc="030A1718">
      <w:start w:val="1"/>
      <w:numFmt w:val="bullet"/>
      <w:lvlText w:val="●"/>
      <w:lvlJc w:val="left"/>
      <w:pPr>
        <w:ind w:left="6480" w:hanging="360"/>
      </w:pPr>
    </w:lvl>
  </w:abstractNum>
  <w:num w:numId="1" w16cid:durableId="1037852721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31"/>
  <w:displayBackgroundShape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56D90"/>
    <w:rsid w:val="005F48C6"/>
    <w:rsid w:val="006466F0"/>
    <w:rsid w:val="00656D90"/>
    <w:rsid w:val="00B90B90"/>
    <w:rsid w:val="00CC2392"/>
    <w:rsid w:val="00E475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BR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0BEF475A"/>
  <w15:docId w15:val="{BCC7EDDA-0EE4-A749-8E01-80237D8A779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="Times New Roman" w:eastAsia="Times New Roman" w:hAnsi="Times New Roman" w:cs="Times New Roman"/>
        <w:lang w:val="pt-BR" w:eastAsia="pt-BR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Ttulo2">
    <w:name w:val="heading 2"/>
    <w:uiPriority w:val="9"/>
    <w:semiHidden/>
    <w:unhideWhenUsed/>
    <w:qFormat/>
    <w:pPr>
      <w:outlineLvl w:val="1"/>
    </w:pPr>
    <w:rPr>
      <w:color w:val="2E74B5"/>
      <w:sz w:val="26"/>
      <w:szCs w:val="26"/>
    </w:rPr>
  </w:style>
  <w:style w:type="paragraph" w:styleId="Ttulo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Ttulo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Ttulo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Ttulo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Fontepargpadr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paragraph" w:styleId="Ttulo">
    <w:name w:val="Title"/>
    <w:uiPriority w:val="10"/>
    <w:qFormat/>
    <w:rPr>
      <w:sz w:val="56"/>
      <w:szCs w:val="56"/>
    </w:rPr>
  </w:style>
  <w:style w:type="paragraph" w:customStyle="1" w:styleId="Forte1">
    <w:name w:val="Forte1"/>
    <w:qFormat/>
    <w:rPr>
      <w:b/>
      <w:bCs/>
    </w:rPr>
  </w:style>
  <w:style w:type="paragraph" w:styleId="PargrafodaLista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Refdenotaderodap">
    <w:name w:val="footnote reference"/>
    <w:uiPriority w:val="99"/>
    <w:semiHidden/>
    <w:unhideWhenUsed/>
    <w:rPr>
      <w:vertAlign w:val="superscript"/>
    </w:rPr>
  </w:style>
  <w:style w:type="paragraph" w:styleId="Textodenotaderodap">
    <w:name w:val="footnote text"/>
    <w:link w:val="TextodenotaderodapChar"/>
    <w:uiPriority w:val="99"/>
    <w:semiHidden/>
    <w:unhideWhenUsed/>
  </w:style>
  <w:style w:type="character" w:customStyle="1" w:styleId="TextodenotaderodapChar">
    <w:name w:val="Texto de nota de rodapé Char"/>
    <w:link w:val="Textodenotaderodap"/>
    <w:uiPriority w:val="99"/>
    <w:semiHidden/>
    <w:unhideWhenUsed/>
    <w:rPr>
      <w:sz w:val="20"/>
      <w:szCs w:val="20"/>
    </w:rPr>
  </w:style>
  <w:style w:type="character" w:styleId="Refdenotadefim">
    <w:name w:val="endnote reference"/>
    <w:uiPriority w:val="99"/>
    <w:semiHidden/>
    <w:unhideWhenUsed/>
    <w:rPr>
      <w:vertAlign w:val="superscript"/>
    </w:rPr>
  </w:style>
  <w:style w:type="paragraph" w:styleId="Textodenotadefim">
    <w:name w:val="endnote text"/>
    <w:link w:val="TextodenotadefimChar"/>
    <w:uiPriority w:val="99"/>
    <w:semiHidden/>
    <w:unhideWhenUsed/>
  </w:style>
  <w:style w:type="character" w:customStyle="1" w:styleId="TextodenotadefimChar">
    <w:name w:val="Texto de nota de fim Char"/>
    <w:link w:val="Textodenotadefim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5</Pages>
  <Words>2008</Words>
  <Characters>11770</Characters>
  <Application>Microsoft Office Word</Application>
  <DocSecurity>0</DocSecurity>
  <Lines>210</Lines>
  <Paragraphs>172</Paragraphs>
  <ScaleCrop>false</ScaleCrop>
  <Company/>
  <LinksUpToDate>false</LinksUpToDate>
  <CharactersWithSpaces>13606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Ighor Ribeiro</cp:lastModifiedBy>
  <cp:revision>2</cp:revision>
  <dcterms:created xsi:type="dcterms:W3CDTF">2026-09-01T16:29:00Z</dcterms:created>
  <dcterms:modified xsi:type="dcterms:W3CDTF">2026-09-01T16:29:00Z</dcterms:modified>
</cp:coreProperties>
</file>