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X81405f15ed911c63c7f6574bf13e1ad65cba3f3"/>
    <w:p>
      <w:pPr>
        <w:pStyle w:val="Heading1"/>
      </w:pPr>
      <w:r>
        <w:rPr>
          <w:color w:val="0F2A4A"/>
        </w:rPr>
        <w:t xml:space="preserve">Tarefa 1 — Termo de Abertura do Projeto (TAP) · Versão consolidada</w:t>
      </w:r>
    </w:p>
    <w:p>
      <w:pPr>
        <w:pStyle w:val="FirstParagraph"/>
      </w:pPr>
      <w:r>
        <w:rPr>
          <w:bCs/>
          <w:b/>
        </w:rPr>
        <w:t xml:space="preserve">Projeto:</w:t>
      </w:r>
      <w:r>
        <w:t xml:space="preserve"> </w:t>
      </w:r>
      <w:r>
        <w:t xml:space="preserve">ROV-MB — Aquisição, Integração e Validação de um ROV Modular</w:t>
      </w:r>
      <w:r>
        <w:br/>
      </w:r>
      <w:r>
        <w:rPr>
          <w:bCs/>
          <w:b/>
        </w:rPr>
        <w:t xml:space="preserve">Disciplina:</w:t>
      </w:r>
      <w:r>
        <w:t xml:space="preserve"> </w:t>
      </w:r>
      <w:r>
        <w:t xml:space="preserve">Curso GDP 2026 — Gerenciamento de Projetos · Tarefa 1 — Termo de Abertura do Projeto</w:t>
      </w:r>
    </w:p>
    <w:p>
      <w:pPr>
        <w:pStyle w:val="BlockText"/>
      </w:pPr>
      <w:r>
        <w:rPr>
          <w:bCs/>
          <w:b/>
        </w:rPr>
        <w:t xml:space="preserve">Situação:</w:t>
      </w:r>
      <w:r>
        <w:t xml:space="preserve"> </w:t>
      </w:r>
      <w:r>
        <w:t xml:space="preserve">versão consolidada por alteração de consistência. Por decisão do responsável pelo projeto,</w:t>
      </w:r>
      <w:r>
        <w:t xml:space="preserve"> </w:t>
      </w:r>
      <w:r>
        <w:rPr>
          <w:bCs/>
          <w:b/>
        </w:rPr>
        <w:t xml:space="preserve">não há nada contratual no projeto</w:t>
      </w:r>
      <w:r>
        <w:t xml:space="preserve">: a obtenção contratual (pesquisa de mercado, definição da solução e contratação) é premissa já concluída, e o projeto compreende somente o processo de recebimento, integração, validação e capacitação. Esta versão resolve o conflito C1, identificado na validação da EAP revisada.</w:t>
      </w:r>
      <w:r>
        <w:br/>
      </w:r>
      <w:r>
        <w:rPr>
          <w:bCs/>
          <w:b/>
        </w:rPr>
        <w:t xml:space="preserve">Versão original preservada sem alteração:</w:t>
      </w:r>
      <w:r>
        <w:t xml:space="preserve"> </w:t>
      </w:r>
      <w:r>
        <w:rPr>
          <w:rStyle w:val="VerbatimChar"/>
        </w:rPr>
        <w:t xml:space="preserve">tarefas/Tarefa 01 - TAP.docx</w:t>
      </w:r>
      <w:r>
        <w:t xml:space="preserve">. Todas as diferenças estão no registro de alterações ao final.</w:t>
      </w:r>
    </w:p>
    <w:bookmarkStart w:id="20" w:name="i-escopo-do-trabalho"/>
    <w:p>
      <w:pPr>
        <w:pStyle w:val="Heading2"/>
      </w:pPr>
      <w:r>
        <w:rPr>
          <w:color w:val="0F2A4A"/>
        </w:rPr>
        <w:t xml:space="preserve">I — Escopo do trabalho</w:t>
      </w:r>
    </w:p>
    <w:p>
      <w:pPr>
        <w:pStyle w:val="FirstParagraph"/>
      </w:pPr>
      <w:r>
        <w:rPr>
          <w:bCs/>
          <w:b/>
        </w:rPr>
        <w:t xml:space="preserve">TERMO DE ABERTURA DO PROJETO — TAP</w:t>
      </w:r>
      <w:r>
        <w:br/>
      </w:r>
      <w:r>
        <w:rPr>
          <w:bCs/>
          <w:b/>
        </w:rPr>
        <w:t xml:space="preserve">PROJETO: ROV-MB — AQUISIÇÃO, INTEGRAÇÃO E VALIDAÇÃO DE UM ROV MODULAR</w:t>
      </w:r>
    </w:p>
    <w:bookmarkEnd w:id="20"/>
    <w:bookmarkStart w:id="36" w:name="ii-termo-de-abertura-do-projeto"/>
    <w:p>
      <w:pPr>
        <w:pStyle w:val="Heading2"/>
      </w:pPr>
      <w:r>
        <w:rPr>
          <w:color w:val="0F2A4A"/>
        </w:rPr>
        <w:t xml:space="preserve">II — Termo de Abertura do Projeto</w:t>
      </w:r>
    </w:p>
    <w:bookmarkStart w:id="21" w:name="descrição-do-projeto-em-alto-nível"/>
    <w:p>
      <w:pPr>
        <w:pStyle w:val="Heading3"/>
      </w:pPr>
      <w:r>
        <w:rPr>
          <w:color w:val="0F2A4A"/>
        </w:rPr>
        <w:t xml:space="preserve">1. Descrição do projeto em alto nível</w:t>
      </w:r>
    </w:p>
    <w:p>
      <w:pPr>
        <w:pStyle w:val="FirstParagraph"/>
      </w:pPr>
      <w:r>
        <w:t xml:space="preserve">O projeto tem por finalidade especificar, receber, integrar e validar um veículo submarino operado remotamente (ROV) modular, para apoiar fainas de inspeção visual e busca de objetos submersos da Marinha do Brasil, operando a partir de terra (cais ou margem), em água doce e salgada, em ambientes preferencialmente abrigados.</w:t>
      </w:r>
    </w:p>
    <w:p>
      <w:pPr>
        <w:pStyle w:val="BodyText"/>
      </w:pPr>
      <w:r>
        <w:t xml:space="preserve">O ROV terá núcleo operacional comum e arquitetura modular obrigatória, permitindo alterar fainas por meio de aparatos e acessórios compatíveis. O MVP contempla apenas câmera e iluminação, sem sonar e sem garra/manipulador, ainda que a modularidade seja requisito arquitetural desde a primeira configuração.</w:t>
      </w:r>
    </w:p>
    <w:p>
      <w:pPr>
        <w:pStyle w:val="BodyText"/>
      </w:pPr>
      <w:r>
        <w:t xml:space="preserve">A obtenção contratual da solução — pesquisa de mercado, definição da solução e contratação — é premissa do projeto e encontra-se concluída; o escopo do projeto compreende o recebimento, a integração, a validação e a preparação da organização para operar e manter a configuração inicial.</w:t>
      </w:r>
    </w:p>
    <w:p>
      <w:pPr>
        <w:pStyle w:val="BodyText"/>
      </w:pPr>
      <w:r>
        <w:t xml:space="preserve">A solução apoiará a inspeção de ferro, casco, hélice e estruturas submersas, e a localização visual de objetos no fundo/leito, produzindo imagens e vídeos como resultado principal. Recuperação física, uso de garra e resgate de pessoas ficam fora do MVP.</w:t>
      </w:r>
    </w:p>
    <w:p>
      <w:pPr>
        <w:pStyle w:val="BodyText"/>
      </w:pPr>
      <w:r>
        <w:t xml:space="preserve">O valor da solução será demonstrado pelo envelope operacional, capacidade de permanência, modularidade, disponibilidade e potencial de redução da exposição humana — sempre como complemento, nunca substituição, do mergulho.</w:t>
      </w:r>
    </w:p>
    <w:bookmarkEnd w:id="21"/>
    <w:bookmarkStart w:id="22" w:name="objetivo-do-projeto"/>
    <w:p>
      <w:pPr>
        <w:pStyle w:val="Heading3"/>
      </w:pPr>
      <w:r>
        <w:rPr>
          <w:color w:val="0F2A4A"/>
        </w:rPr>
        <w:t xml:space="preserve">2. Objetivo do projeto</w:t>
      </w:r>
    </w:p>
    <w:p>
      <w:pPr>
        <w:pStyle w:val="FirstParagraph"/>
      </w:pPr>
      <w:r>
        <w:t xml:space="preserve">Receber, integrar e validar uma solução ROV modular, operável por uma única pessoa a partir de terra, capaz de produzir imagens subaquáticas úteis para inspeção e localização de objetos em água doce e salgada — profundidade nominal de até 10 m, máxima de 30 m, autonomia mínima de 2h30 — acompanhada de treinamento, sobressalentes, documentação e apoio de manutenção.</w:t>
      </w:r>
    </w:p>
    <w:p>
      <w:pPr>
        <w:numPr>
          <w:ilvl w:val="0"/>
          <w:numId w:val="1001"/>
        </w:numPr>
        <w:pStyle w:val="Compact"/>
      </w:pPr>
      <w:r>
        <w:t xml:space="preserve">Consolidar a necessidade operacional dos Distritos/grupamentos usuários (T0 + 2 meses);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Receber a configuração inicial do MVP (T0 + 12 meses);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Demonstrar operação segura por uma pessoa treinada;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Demonstrar o envelope operacional aprovado (10 m nominal / 30 m máximo);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Demonstrar autonomia mínima de 2h30 e registro de imagem (1080p/30fps e 4K/15fps);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Preparar a organização para operar e manter a configuração inicial; e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Avaliar o benefício de redução da exposição humana em reconhecimentos preliminares.</w:t>
      </w:r>
    </w:p>
    <w:bookmarkEnd w:id="22"/>
    <w:bookmarkStart w:id="23" w:name="requisitos-de-alto-nível"/>
    <w:p>
      <w:pPr>
        <w:pStyle w:val="Heading3"/>
      </w:pPr>
      <w:r>
        <w:rPr>
          <w:color w:val="0F2A4A"/>
        </w:rPr>
        <w:t xml:space="preserve">3. Requisitos de alto nível</w:t>
      </w:r>
    </w:p>
    <w:p>
      <w:pPr>
        <w:numPr>
          <w:ilvl w:val="0"/>
          <w:numId w:val="1002"/>
        </w:numPr>
        <w:pStyle w:val="Compact"/>
      </w:pPr>
      <w:r>
        <w:t xml:space="preserve">O ROV deverá possuir arquitetura modular, permitindo a instalação ou substituição de aparatos e acessórios conforme a faina;</w:t>
      </w:r>
      <w:r>
        <w:br/>
      </w:r>
    </w:p>
    <w:p>
      <w:pPr>
        <w:numPr>
          <w:ilvl w:val="0"/>
          <w:numId w:val="1002"/>
        </w:numPr>
        <w:pStyle w:val="Compact"/>
      </w:pPr>
      <w:r>
        <w:t xml:space="preserve">O sistema deverá ser operável por uma única pessoa treinada, a partir de terra, em cais ou margem;</w:t>
      </w:r>
      <w:r>
        <w:br/>
      </w:r>
    </w:p>
    <w:p>
      <w:pPr>
        <w:numPr>
          <w:ilvl w:val="0"/>
          <w:numId w:val="1002"/>
        </w:numPr>
        <w:pStyle w:val="Compact"/>
      </w:pPr>
      <w:r>
        <w:t xml:space="preserve">O sistema deverá operar em água doce e salgada, preferencialmente em ambientes abrigados;</w:t>
      </w:r>
      <w:r>
        <w:br/>
      </w:r>
    </w:p>
    <w:p>
      <w:pPr>
        <w:numPr>
          <w:ilvl w:val="0"/>
          <w:numId w:val="1002"/>
        </w:numPr>
        <w:pStyle w:val="Compact"/>
      </w:pPr>
      <w:r>
        <w:t xml:space="preserve">A profundidade nominal de operação deverá ser de até 10 m, com profundidade máxima de projeto de 30 m;</w:t>
      </w:r>
      <w:r>
        <w:br/>
      </w:r>
    </w:p>
    <w:p>
      <w:pPr>
        <w:numPr>
          <w:ilvl w:val="0"/>
          <w:numId w:val="1002"/>
        </w:numPr>
        <w:pStyle w:val="Compact"/>
      </w:pPr>
      <w:r>
        <w:t xml:space="preserve">A autonomia mínima deverá ser de 2h30 em condição nominal de operação;</w:t>
      </w:r>
      <w:r>
        <w:br/>
      </w:r>
    </w:p>
    <w:p>
      <w:pPr>
        <w:numPr>
          <w:ilvl w:val="0"/>
          <w:numId w:val="1002"/>
        </w:numPr>
        <w:pStyle w:val="Compact"/>
      </w:pPr>
      <w:r>
        <w:t xml:space="preserve">O umbilical deverá possuir alcance mínimo de 50 m e mecanismo de recuperação e gestão dinâmica;</w:t>
      </w:r>
      <w:r>
        <w:br/>
      </w:r>
    </w:p>
    <w:p>
      <w:pPr>
        <w:numPr>
          <w:ilvl w:val="0"/>
          <w:numId w:val="1002"/>
        </w:numPr>
        <w:pStyle w:val="Compact"/>
      </w:pPr>
      <w:r>
        <w:t xml:space="preserve">O sistema deverá produzir e armazenar imagens e vídeos em 1080p a 30 fps e 4K a 15 fps, conforme especificação final;</w:t>
      </w:r>
      <w:r>
        <w:br/>
      </w:r>
    </w:p>
    <w:p>
      <w:pPr>
        <w:numPr>
          <w:ilvl w:val="0"/>
          <w:numId w:val="1002"/>
        </w:numPr>
        <w:pStyle w:val="Compact"/>
      </w:pPr>
      <w:r>
        <w:t xml:space="preserve">O MVP deverá contemplar câmera e iluminação, sem sonar e sem garra/manipulador;</w:t>
      </w:r>
      <w:r>
        <w:br/>
      </w:r>
    </w:p>
    <w:p>
      <w:pPr>
        <w:numPr>
          <w:ilvl w:val="0"/>
          <w:numId w:val="1002"/>
        </w:numPr>
        <w:pStyle w:val="Compact"/>
      </w:pPr>
      <w:r>
        <w:t xml:space="preserve">O sistema deverá apoiar a inspeção visual de ferro, casco, hélice e demais estruturas submersas definidas no CONOPS;</w:t>
      </w:r>
      <w:r>
        <w:br/>
      </w:r>
    </w:p>
    <w:p>
      <w:pPr>
        <w:numPr>
          <w:ilvl w:val="0"/>
          <w:numId w:val="1002"/>
        </w:numPr>
        <w:pStyle w:val="Compact"/>
      </w:pPr>
      <w:r>
        <w:t xml:space="preserve">O sistema deverá permitir a localização visual de objetos no fundo ou leito, sem requisito de recuperação física no MVP;</w:t>
      </w:r>
      <w:r>
        <w:br/>
      </w:r>
    </w:p>
    <w:p>
      <w:pPr>
        <w:numPr>
          <w:ilvl w:val="0"/>
          <w:numId w:val="1002"/>
        </w:numPr>
        <w:pStyle w:val="Compact"/>
      </w:pPr>
      <w:r>
        <w:t xml:space="preserve">O sistema deverá possuir comportamentos de proteção para situações de impacto, perda de comunicação ou carga anormal associada ao umbilical;</w:t>
      </w:r>
      <w:r>
        <w:br/>
      </w:r>
    </w:p>
    <w:p>
      <w:pPr>
        <w:numPr>
          <w:ilvl w:val="0"/>
          <w:numId w:val="1002"/>
        </w:numPr>
        <w:pStyle w:val="Compact"/>
      </w:pPr>
      <w:r>
        <w:t xml:space="preserve">O sistema deverá possuir procedimentos de operação, lançamento, gestão do fio, recuperação, lavagem, dessalinização, armazenamento e transporte;</w:t>
      </w:r>
      <w:r>
        <w:br/>
      </w:r>
    </w:p>
    <w:p>
      <w:pPr>
        <w:numPr>
          <w:ilvl w:val="0"/>
          <w:numId w:val="1002"/>
        </w:numPr>
        <w:pStyle w:val="Compact"/>
      </w:pPr>
      <w:r>
        <w:t xml:space="preserve">O recebimento deverá incluir treinamento básico, documentação técnica e sobressalentes iniciais;</w:t>
      </w:r>
      <w:r>
        <w:br/>
      </w:r>
    </w:p>
    <w:p>
      <w:pPr>
        <w:numPr>
          <w:ilvl w:val="0"/>
          <w:numId w:val="1002"/>
        </w:numPr>
        <w:pStyle w:val="Compact"/>
      </w:pPr>
      <w:r>
        <w:t xml:space="preserve">A solução deverá considerar vida útil de projeto de 10 anos e apoio de manutenção por cinco anos;</w:t>
      </w:r>
      <w:r>
        <w:br/>
      </w:r>
    </w:p>
    <w:p>
      <w:pPr>
        <w:numPr>
          <w:ilvl w:val="0"/>
          <w:numId w:val="1002"/>
        </w:numPr>
        <w:pStyle w:val="Compact"/>
      </w:pPr>
      <w:r>
        <w:t xml:space="preserve">A solução deverá ser submetida a testes de bancada e de campo, em água doce e salgada, com critérios de aceitação previamente definidos;</w:t>
      </w:r>
      <w:r>
        <w:br/>
      </w:r>
    </w:p>
    <w:p>
      <w:pPr>
        <w:numPr>
          <w:ilvl w:val="0"/>
          <w:numId w:val="1002"/>
        </w:numPr>
        <w:pStyle w:val="Compact"/>
      </w:pPr>
      <w:r>
        <w:t xml:space="preserve">Os resultados principais do MVP deverão ser imagens e registros associados às missões de inspeção e busca;</w:t>
      </w:r>
      <w:r>
        <w:br/>
      </w:r>
    </w:p>
    <w:p>
      <w:pPr>
        <w:numPr>
          <w:ilvl w:val="0"/>
          <w:numId w:val="1002"/>
        </w:numPr>
        <w:pStyle w:val="Compact"/>
      </w:pPr>
      <w:r>
        <w:t xml:space="preserve">Os requisitos deverão ser rastreáveis aos critérios de aceitação e aprovados pela autoridade competente.</w:t>
      </w:r>
    </w:p>
    <w:bookmarkEnd w:id="23"/>
    <w:bookmarkStart w:id="24" w:name="entregas-chave-do-projeto"/>
    <w:p>
      <w:pPr>
        <w:pStyle w:val="Heading3"/>
      </w:pPr>
      <w:r>
        <w:rPr>
          <w:color w:val="0F2A4A"/>
        </w:rPr>
        <w:t xml:space="preserve">4. Entregas-chave do projeto</w:t>
      </w:r>
    </w:p>
    <w:p>
      <w:pPr>
        <w:numPr>
          <w:ilvl w:val="0"/>
          <w:numId w:val="1003"/>
        </w:numPr>
        <w:pStyle w:val="Compact"/>
      </w:pPr>
      <w:r>
        <w:t xml:space="preserve">TAP e registro de premissas, objetivos, limites, riscos iniciais e autoridade de aprovação;</w:t>
      </w:r>
      <w:r>
        <w:br/>
      </w:r>
    </w:p>
    <w:p>
      <w:pPr>
        <w:numPr>
          <w:ilvl w:val="0"/>
          <w:numId w:val="1003"/>
        </w:numPr>
        <w:pStyle w:val="Compact"/>
      </w:pPr>
      <w:r>
        <w:t xml:space="preserve">Necessidade operacional e mapa de usuários, contemplando Distritos, grupamentos e militares especializados;</w:t>
      </w:r>
      <w:r>
        <w:br/>
      </w:r>
    </w:p>
    <w:p>
      <w:pPr>
        <w:numPr>
          <w:ilvl w:val="0"/>
          <w:numId w:val="1003"/>
        </w:numPr>
        <w:pStyle w:val="Compact"/>
      </w:pPr>
      <w:r>
        <w:t xml:space="preserve">CONOPS e envelope operacional, definindo emprego, preparação, operação, recuperação, limites e cenários;</w:t>
      </w:r>
      <w:r>
        <w:br/>
      </w:r>
    </w:p>
    <w:p>
      <w:pPr>
        <w:numPr>
          <w:ilvl w:val="0"/>
          <w:numId w:val="1003"/>
        </w:numPr>
        <w:pStyle w:val="Compact"/>
      </w:pPr>
      <w:r>
        <w:t xml:space="preserve">Requisitos de alto nível e critérios de aceitação do produto e do projeto;</w:t>
      </w:r>
      <w:r>
        <w:br/>
      </w:r>
    </w:p>
    <w:p>
      <w:pPr>
        <w:numPr>
          <w:ilvl w:val="0"/>
          <w:numId w:val="1003"/>
        </w:numPr>
        <w:pStyle w:val="Compact"/>
      </w:pPr>
      <w:r>
        <w:t xml:space="preserve">Arquitetura modular e especificação técnica, contemplando núcleo, interfaces, configuração do MVP, umbilical, gestão dinâmica e estados seguros;</w:t>
      </w:r>
      <w:r>
        <w:br/>
      </w:r>
    </w:p>
    <w:p>
      <w:pPr>
        <w:numPr>
          <w:ilvl w:val="0"/>
          <w:numId w:val="1003"/>
        </w:numPr>
        <w:pStyle w:val="Compact"/>
      </w:pPr>
      <w:r>
        <w:t xml:space="preserve">ROV recebido, integrado e configurado conforme a configuração aprovada;</w:t>
      </w:r>
      <w:r>
        <w:br/>
      </w:r>
    </w:p>
    <w:p>
      <w:pPr>
        <w:numPr>
          <w:ilvl w:val="0"/>
          <w:numId w:val="1003"/>
        </w:numPr>
        <w:pStyle w:val="Compact"/>
      </w:pPr>
      <w:r>
        <w:t xml:space="preserve">Plano, procedimentos e evidências de testes de bancada, água doce e água salgada;</w:t>
      </w:r>
      <w:r>
        <w:br/>
      </w:r>
    </w:p>
    <w:p>
      <w:pPr>
        <w:numPr>
          <w:ilvl w:val="0"/>
          <w:numId w:val="1003"/>
        </w:numPr>
        <w:pStyle w:val="Compact"/>
      </w:pPr>
      <w:r>
        <w:t xml:space="preserve">Capacitação, documentação, sobressalentes e plano de manutenção;</w:t>
      </w:r>
      <w:r>
        <w:br/>
      </w:r>
    </w:p>
    <w:p>
      <w:pPr>
        <w:numPr>
          <w:ilvl w:val="0"/>
          <w:numId w:val="1003"/>
        </w:numPr>
        <w:pStyle w:val="Compact"/>
      </w:pPr>
      <w:r>
        <w:t xml:space="preserve">Piloto operacional e relatório de avaliação dos resultados, desempenho, limites e benefícios;</w:t>
      </w:r>
      <w:r>
        <w:br/>
      </w:r>
    </w:p>
    <w:p>
      <w:pPr>
        <w:numPr>
          <w:ilvl w:val="0"/>
          <w:numId w:val="1003"/>
        </w:numPr>
        <w:pStyle w:val="Compact"/>
      </w:pPr>
      <w:r>
        <w:t xml:space="preserve">Documentação final, aceite, transferência, lições aprendidas, recomendação de continuidade e encerramento do projeto.</w:t>
      </w:r>
    </w:p>
    <w:bookmarkEnd w:id="24"/>
    <w:bookmarkStart w:id="25" w:name="justificativas-do-projeto"/>
    <w:p>
      <w:pPr>
        <w:pStyle w:val="Heading3"/>
      </w:pPr>
      <w:r>
        <w:rPr>
          <w:color w:val="0F2A4A"/>
        </w:rPr>
        <w:t xml:space="preserve">5. Justificativas do projeto</w:t>
      </w:r>
    </w:p>
    <w:p>
      <w:pPr>
        <w:numPr>
          <w:ilvl w:val="0"/>
          <w:numId w:val="1004"/>
        </w:numPr>
        <w:pStyle w:val="Compact"/>
      </w:pPr>
      <w:r>
        <w:t xml:space="preserve">Operacional — amplia as alternativas dos Distritos e grupamentos para inspeções e buscas em locais submersos;</w:t>
      </w:r>
      <w:r>
        <w:br/>
      </w:r>
    </w:p>
    <w:p>
      <w:pPr>
        <w:numPr>
          <w:ilvl w:val="0"/>
          <w:numId w:val="1004"/>
        </w:numPr>
        <w:pStyle w:val="Compact"/>
      </w:pPr>
      <w:r>
        <w:t xml:space="preserve">Segurança e exposição humana — apoia a avaliação preliminar de estruturas submersas antes do emprego de mergulhadores, sem eliminar seus requisitos de segurança;</w:t>
      </w:r>
      <w:r>
        <w:br/>
      </w:r>
    </w:p>
    <w:p>
      <w:pPr>
        <w:numPr>
          <w:ilvl w:val="0"/>
          <w:numId w:val="1004"/>
        </w:numPr>
        <w:pStyle w:val="Compact"/>
      </w:pPr>
      <w:r>
        <w:t xml:space="preserve">Permanência e repetibilidade — autonomia mínima de 2h30 e registro de imagens permitem documentar e revisar uma faina posteriormente;</w:t>
      </w:r>
      <w:r>
        <w:br/>
      </w:r>
    </w:p>
    <w:p>
      <w:pPr>
        <w:numPr>
          <w:ilvl w:val="0"/>
          <w:numId w:val="1004"/>
        </w:numPr>
        <w:pStyle w:val="Compact"/>
      </w:pPr>
      <w:r>
        <w:t xml:space="preserve">Modularidade — um núcleo comum poderá receber aparatos em fases distintas, conforme necessidade operacional e disponibilidade orçamentária; e</w:t>
      </w:r>
      <w:r>
        <w:br/>
      </w:r>
    </w:p>
    <w:p>
      <w:pPr>
        <w:numPr>
          <w:ilvl w:val="0"/>
          <w:numId w:val="1004"/>
        </w:numPr>
        <w:pStyle w:val="Compact"/>
      </w:pPr>
      <w:r>
        <w:t xml:space="preserve">Sustentabilidade da cadeia de suprimento — sobressalentes, treinamento e apoio de manutenção por cinco anos.</w:t>
      </w:r>
    </w:p>
    <w:bookmarkEnd w:id="25"/>
    <w:bookmarkStart w:id="26" w:name="restrições-do-projeto"/>
    <w:p>
      <w:pPr>
        <w:pStyle w:val="Heading3"/>
      </w:pPr>
      <w:r>
        <w:rPr>
          <w:color w:val="0F2A4A"/>
        </w:rPr>
        <w:t xml:space="preserve">6. Restrições do projeto</w:t>
      </w:r>
    </w:p>
    <w:p>
      <w:pPr>
        <w:numPr>
          <w:ilvl w:val="0"/>
          <w:numId w:val="1005"/>
        </w:numPr>
        <w:pStyle w:val="Compact"/>
      </w:pPr>
      <w:r>
        <w:t xml:space="preserve">Operação do MVP somente a partir de terra, em cais ou margem;</w:t>
      </w:r>
      <w:r>
        <w:br/>
      </w:r>
    </w:p>
    <w:p>
      <w:pPr>
        <w:numPr>
          <w:ilvl w:val="0"/>
          <w:numId w:val="1005"/>
        </w:numPr>
        <w:pStyle w:val="Compact"/>
      </w:pPr>
      <w:r>
        <w:t xml:space="preserve">Profundidade nominal de 10 m e máxima de 30 m;</w:t>
      </w:r>
      <w:r>
        <w:br/>
      </w:r>
    </w:p>
    <w:p>
      <w:pPr>
        <w:numPr>
          <w:ilvl w:val="0"/>
          <w:numId w:val="1005"/>
        </w:numPr>
        <w:pStyle w:val="Compact"/>
      </w:pPr>
      <w:r>
        <w:t xml:space="preserve">Emprego em água doce e salgada, preferencialmente em locais abrigados, sem alto-mar;</w:t>
      </w:r>
      <w:r>
        <w:br/>
      </w:r>
    </w:p>
    <w:p>
      <w:pPr>
        <w:numPr>
          <w:ilvl w:val="0"/>
          <w:numId w:val="1005"/>
        </w:numPr>
        <w:pStyle w:val="Compact"/>
      </w:pPr>
      <w:r>
        <w:t xml:space="preserve">Vedada a operação em rebojo perigoso ou com correnteza acima de 5 nós;</w:t>
      </w:r>
      <w:r>
        <w:br/>
      </w:r>
    </w:p>
    <w:p>
      <w:pPr>
        <w:numPr>
          <w:ilvl w:val="0"/>
          <w:numId w:val="1005"/>
        </w:numPr>
        <w:pStyle w:val="Compact"/>
      </w:pPr>
      <w:r>
        <w:t xml:space="preserve">Interrupção obrigatória fora do limite de visibilidade aprovado (interpretação do valor de 30 cm a confirmar);</w:t>
      </w:r>
      <w:r>
        <w:br/>
      </w:r>
    </w:p>
    <w:p>
      <w:pPr>
        <w:numPr>
          <w:ilvl w:val="0"/>
          <w:numId w:val="1005"/>
        </w:numPr>
        <w:pStyle w:val="Compact"/>
      </w:pPr>
      <w:r>
        <w:t xml:space="preserve">O MVP não terá sonar, garra/manipulador nem capacidade de recuperação física de objetos;</w:t>
      </w:r>
      <w:r>
        <w:br/>
      </w:r>
    </w:p>
    <w:p>
      <w:pPr>
        <w:numPr>
          <w:ilvl w:val="0"/>
          <w:numId w:val="1005"/>
        </w:numPr>
        <w:pStyle w:val="Compact"/>
      </w:pPr>
      <w:r>
        <w:t xml:space="preserve">O umbilical terá alcance mínimo de 50 m e mecanismo de recuperação/gestão dinâmica;</w:t>
      </w:r>
      <w:r>
        <w:br/>
      </w:r>
    </w:p>
    <w:p>
      <w:pPr>
        <w:numPr>
          <w:ilvl w:val="0"/>
          <w:numId w:val="1005"/>
        </w:numPr>
        <w:pStyle w:val="Compact"/>
      </w:pPr>
      <w:r>
        <w:t xml:space="preserve">O orçamento ainda não está pré-aprovado e deverá incorporar suporte, sobressalentes, treinamento e ciclo de vida; e</w:t>
      </w:r>
      <w:r>
        <w:br/>
      </w:r>
    </w:p>
    <w:p>
      <w:pPr>
        <w:numPr>
          <w:ilvl w:val="0"/>
          <w:numId w:val="1005"/>
        </w:numPr>
        <w:pStyle w:val="Compact"/>
      </w:pPr>
      <w:r>
        <w:t xml:space="preserve">A aprovação de requisitos, testes e recebimento dependerá da Força de Submarinos.</w:t>
      </w:r>
    </w:p>
    <w:bookmarkEnd w:id="26"/>
    <w:bookmarkStart w:id="27" w:name="resumo-do-orçamento-do-projeto"/>
    <w:p>
      <w:pPr>
        <w:pStyle w:val="Heading3"/>
      </w:pPr>
      <w:r>
        <w:rPr>
          <w:color w:val="0F2A4A"/>
        </w:rPr>
        <w:t xml:space="preserve">7. Resumo do orçamento do projeto</w:t>
      </w:r>
    </w:p>
    <w:p>
      <w:pPr>
        <w:pStyle w:val="FirstParagraph"/>
      </w:pPr>
      <w:r>
        <w:t xml:space="preserve">Não há, nesta versão, valor financeiro pré-aprovado. O orçamento será estimado pelo custo total de propriedade ao longo da vida útil de 10 anos, incluindo apoio de manutenção por 5 anos, considerando os seguintes grupos de custo:</w:t>
      </w:r>
    </w:p>
    <w:p>
      <w:pPr>
        <w:numPr>
          <w:ilvl w:val="0"/>
          <w:numId w:val="1006"/>
        </w:numPr>
        <w:pStyle w:val="Compact"/>
      </w:pPr>
      <w:r>
        <w:t xml:space="preserve">Modularidade e acessórios (interfaces, aparatos futuros, adaptações);</w:t>
      </w:r>
      <w:r>
        <w:br/>
      </w:r>
    </w:p>
    <w:p>
      <w:pPr>
        <w:numPr>
          <w:ilvl w:val="0"/>
          <w:numId w:val="1006"/>
        </w:numPr>
        <w:pStyle w:val="Compact"/>
      </w:pPr>
      <w:r>
        <w:t xml:space="preserve">Integração e configuração (montagem, software, documentação);</w:t>
      </w:r>
      <w:r>
        <w:br/>
      </w:r>
    </w:p>
    <w:p>
      <w:pPr>
        <w:numPr>
          <w:ilvl w:val="0"/>
          <w:numId w:val="1006"/>
        </w:numPr>
        <w:pStyle w:val="Compact"/>
      </w:pPr>
      <w:r>
        <w:t xml:space="preserve">Testes e apoio (áreas, meios, transporte, autorizações e segurança);</w:t>
      </w:r>
      <w:r>
        <w:br/>
      </w:r>
    </w:p>
    <w:p>
      <w:pPr>
        <w:numPr>
          <w:ilvl w:val="0"/>
          <w:numId w:val="1006"/>
        </w:numPr>
        <w:pStyle w:val="Compact"/>
      </w:pPr>
      <w:r>
        <w:t xml:space="preserve">Capacitação e documentação (curso básico, manuais, treinamento);</w:t>
      </w:r>
      <w:r>
        <w:br/>
      </w:r>
    </w:p>
    <w:p>
      <w:pPr>
        <w:numPr>
          <w:ilvl w:val="0"/>
          <w:numId w:val="1006"/>
        </w:numPr>
        <w:pStyle w:val="Compact"/>
      </w:pPr>
      <w:r>
        <w:t xml:space="preserve">Sobressalentes e manutenção (peças iniciais, ferramentas, apoio de manutenção de 5 anos);</w:t>
      </w:r>
      <w:r>
        <w:br/>
      </w:r>
    </w:p>
    <w:p>
      <w:pPr>
        <w:numPr>
          <w:ilvl w:val="0"/>
          <w:numId w:val="1006"/>
        </w:numPr>
        <w:pStyle w:val="Compact"/>
      </w:pPr>
      <w:r>
        <w:t xml:space="preserve">Ciclo de vida (atualizações, suporte, disponibilidade, descarte); e</w:t>
      </w:r>
      <w:r>
        <w:br/>
      </w:r>
    </w:p>
    <w:p>
      <w:pPr>
        <w:numPr>
          <w:ilvl w:val="0"/>
          <w:numId w:val="1006"/>
        </w:numPr>
        <w:pStyle w:val="Compact"/>
      </w:pPr>
      <w:r>
        <w:t xml:space="preserve">Reserva de contingência (técnica, de suprimento e de variação de preços).</w:t>
      </w:r>
    </w:p>
    <w:bookmarkEnd w:id="27"/>
    <w:bookmarkStart w:id="28" w:name="lista-das-partes-interessadas-do-projeto"/>
    <w:p>
      <w:pPr>
        <w:pStyle w:val="Heading3"/>
      </w:pPr>
      <w:r>
        <w:rPr>
          <w:color w:val="0F2A4A"/>
        </w:rPr>
        <w:t xml:space="preserve">8. Lista das partes interessadas do projeto</w:t>
      </w:r>
    </w:p>
    <w:p>
      <w:pPr>
        <w:numPr>
          <w:ilvl w:val="0"/>
          <w:numId w:val="1007"/>
        </w:numPr>
        <w:pStyle w:val="Compact"/>
      </w:pPr>
      <w:r>
        <w:t xml:space="preserve">Força de Submarinos — autoridade de aprovação;</w:t>
      </w:r>
      <w:r>
        <w:br/>
      </w:r>
    </w:p>
    <w:p>
      <w:pPr>
        <w:numPr>
          <w:ilvl w:val="0"/>
          <w:numId w:val="1007"/>
        </w:numPr>
        <w:pStyle w:val="Compact"/>
      </w:pPr>
      <w:r>
        <w:t xml:space="preserve">Distritos e grupamentos — usuários operacionais;</w:t>
      </w:r>
      <w:r>
        <w:br/>
      </w:r>
    </w:p>
    <w:p>
      <w:pPr>
        <w:numPr>
          <w:ilvl w:val="0"/>
          <w:numId w:val="1007"/>
        </w:numPr>
        <w:pStyle w:val="Compact"/>
      </w:pPr>
      <w:r>
        <w:t xml:space="preserve">Militares especializados — operadores e mantenedores;</w:t>
      </w:r>
      <w:r>
        <w:br/>
      </w:r>
    </w:p>
    <w:p>
      <w:pPr>
        <w:numPr>
          <w:ilvl w:val="0"/>
          <w:numId w:val="1007"/>
        </w:numPr>
        <w:pStyle w:val="Compact"/>
      </w:pPr>
      <w:r>
        <w:t xml:space="preserve">Mergulhadores e especialistas SAR;</w:t>
      </w:r>
      <w:r>
        <w:br/>
      </w:r>
    </w:p>
    <w:p>
      <w:pPr>
        <w:numPr>
          <w:ilvl w:val="0"/>
          <w:numId w:val="1007"/>
        </w:numPr>
        <w:pStyle w:val="Compact"/>
      </w:pPr>
      <w:r>
        <w:t xml:space="preserve">Engenharia e manutenção;</w:t>
      </w:r>
      <w:r>
        <w:br/>
      </w:r>
    </w:p>
    <w:p>
      <w:pPr>
        <w:numPr>
          <w:ilvl w:val="0"/>
          <w:numId w:val="1007"/>
        </w:numPr>
        <w:pStyle w:val="Compact"/>
      </w:pPr>
      <w:r>
        <w:t xml:space="preserve">Logística e cadeia de suprimento;</w:t>
      </w:r>
      <w:r>
        <w:br/>
      </w:r>
    </w:p>
    <w:p>
      <w:pPr>
        <w:numPr>
          <w:ilvl w:val="0"/>
          <w:numId w:val="1007"/>
        </w:numPr>
        <w:pStyle w:val="Compact"/>
      </w:pPr>
      <w:r>
        <w:t xml:space="preserve">Empresa responsável pelo sistema ROV;</w:t>
      </w:r>
      <w:r>
        <w:br/>
      </w:r>
    </w:p>
    <w:p>
      <w:pPr>
        <w:numPr>
          <w:ilvl w:val="0"/>
          <w:numId w:val="1007"/>
        </w:numPr>
        <w:pStyle w:val="Compact"/>
      </w:pPr>
      <w:r>
        <w:t xml:space="preserve">Áreas de ciência, tecnologia e inovação;</w:t>
      </w:r>
      <w:r>
        <w:br/>
      </w:r>
    </w:p>
    <w:p>
      <w:pPr>
        <w:numPr>
          <w:ilvl w:val="0"/>
          <w:numId w:val="1007"/>
        </w:numPr>
        <w:pStyle w:val="Compact"/>
      </w:pPr>
      <w:r>
        <w:t xml:space="preserve">Autoridades de segurança e áreas de teste; e</w:t>
      </w:r>
      <w:r>
        <w:br/>
      </w:r>
    </w:p>
    <w:p>
      <w:pPr>
        <w:numPr>
          <w:ilvl w:val="0"/>
          <w:numId w:val="1007"/>
        </w:numPr>
        <w:pStyle w:val="Compact"/>
      </w:pPr>
      <w:r>
        <w:t xml:space="preserve">Patrocinador do projeto.</w:t>
      </w:r>
    </w:p>
    <w:bookmarkEnd w:id="28"/>
    <w:bookmarkStart w:id="29" w:name="riscos-de-alto-nível"/>
    <w:p>
      <w:pPr>
        <w:pStyle w:val="Heading3"/>
      </w:pPr>
      <w:r>
        <w:rPr>
          <w:color w:val="0F2A4A"/>
        </w:rPr>
        <w:t xml:space="preserve">9. Riscos de alto nível</w:t>
      </w:r>
    </w:p>
    <w:p>
      <w:pPr>
        <w:pStyle w:val="FirstParagraph"/>
      </w:pPr>
      <w:r>
        <w:rPr>
          <w:bCs/>
          <w:b/>
        </w:rPr>
        <w:t xml:space="preserve">Descrição dos riscos (ameaças):</w:t>
      </w:r>
    </w:p>
    <w:p>
      <w:pPr>
        <w:pStyle w:val="BodyText"/>
      </w:pPr>
      <w:r>
        <w:t xml:space="preserve">1.1) Requisitos divergentes entre usuários, engenharia e Força de Submarinos, gerando retrabalho;</w:t>
      </w:r>
      <w:r>
        <w:br/>
      </w:r>
      <w:r>
        <w:t xml:space="preserve">1.2) Modularidade declarada sem interfaces ou critérios verificáveis, criando dependência da empresa responsável pelo sistema;</w:t>
      </w:r>
      <w:r>
        <w:br/>
      </w:r>
      <w:r>
        <w:t xml:space="preserve">1.3) Desempenho insuficiente em turbidez, correnteza ou obstáculos, causando perda de missão;</w:t>
      </w:r>
      <w:r>
        <w:br/>
      </w:r>
      <w:r>
        <w:t xml:space="preserve">1.4) Falha de vedação, corrosão, propulsão ou alimentação, causando indisponibilidade do equipamento;</w:t>
      </w:r>
      <w:r>
        <w:br/>
      </w:r>
      <w:r>
        <w:t xml:space="preserve">1.5) Perda de comunicação ou rompimento/enrosco do umbilical, causando perda do ROV;</w:t>
      </w:r>
      <w:r>
        <w:br/>
      </w:r>
      <w:r>
        <w:t xml:space="preserve">1.6) Interpretação inadequada do limite de visibilidade de 30 cm, causando operação insegura;</w:t>
      </w:r>
      <w:r>
        <w:br/>
      </w:r>
      <w:r>
        <w:t xml:space="preserve">1.7) Dependência da empresa responsável pelo sistema ou de componentes sem suporte por 10 anos; e</w:t>
      </w:r>
      <w:r>
        <w:br/>
      </w:r>
      <w:r>
        <w:t xml:space="preserve">1.8) Atraso em autorização de área ou disponibilidade de água doce/salgada.</w:t>
      </w:r>
    </w:p>
    <w:bookmarkEnd w:id="29"/>
    <w:bookmarkStart w:id="30" w:name="indicadores-chave-do-sucesso-do-projeto"/>
    <w:p>
      <w:pPr>
        <w:pStyle w:val="Heading3"/>
      </w:pPr>
      <w:r>
        <w:rPr>
          <w:color w:val="0F2A4A"/>
        </w:rPr>
        <w:t xml:space="preserve">10. Indicadores-chave do sucesso do projeto</w:t>
      </w:r>
    </w:p>
    <w:p>
      <w:pPr>
        <w:pStyle w:val="FirstParagraph"/>
      </w:pPr>
      <w:r>
        <w:t xml:space="preserve">10.1) MVP recebido, integrado e configurado dentro do prazo aprovado;</w:t>
      </w:r>
      <w:r>
        <w:br/>
      </w:r>
      <w:r>
        <w:t xml:space="preserve">10.2) 100% dos testes críticos aprovados antes do piloto operacional;</w:t>
      </w:r>
      <w:r>
        <w:br/>
      </w:r>
      <w:r>
        <w:t xml:space="preserve">10.3) Envelope operacional demonstrado (10 m nominal / 30 m máximo; autonomia ≥ 2h30);</w:t>
      </w:r>
      <w:r>
        <w:br/>
      </w:r>
      <w:r>
        <w:t xml:space="preserve">10.4) Curso básico, sobressalentes, documentação e plano de manutenção entregues; e</w:t>
      </w:r>
      <w:r>
        <w:br/>
      </w:r>
      <w:r>
        <w:t xml:space="preserve">10.5) Piloto operacional avaliado e aprovado pela Força de Submarinos.</w:t>
      </w:r>
    </w:p>
    <w:bookmarkEnd w:id="30"/>
    <w:bookmarkStart w:id="31" w:name="resumo-do-cronograma-de-marcos"/>
    <w:p>
      <w:pPr>
        <w:pStyle w:val="Heading3"/>
      </w:pPr>
      <w:r>
        <w:rPr>
          <w:color w:val="0F2A4A"/>
        </w:rPr>
        <w:t xml:space="preserve">11. Resumo do cronograma de marcos</w:t>
      </w:r>
    </w:p>
    <w:p>
      <w:pPr>
        <w:pStyle w:val="FirstParagraph"/>
      </w:pPr>
      <w:r>
        <w:t xml:space="preserve">M-01) TAP, premissas e autoridade de aprovação revisados: T0 + 1 mês;</w:t>
      </w:r>
      <w:r>
        <w:br/>
      </w:r>
      <w:r>
        <w:t xml:space="preserve">M-02) Necessidade e CONOPS preliminar definidos: T0 + 2 meses;</w:t>
      </w:r>
      <w:r>
        <w:br/>
      </w:r>
      <w:r>
        <w:t xml:space="preserve">M-03) Requisitos e envelope operacional aprovados: T0 + 3 meses;</w:t>
      </w:r>
      <w:r>
        <w:br/>
      </w:r>
      <w:r>
        <w:t xml:space="preserve">M-04) Arquitetura modular aprovada: T0 + 6 meses;</w:t>
      </w:r>
      <w:r>
        <w:br/>
      </w:r>
      <w:r>
        <w:t xml:space="preserve">M-05) ROV recebido e integração de bancada concluída: T0 + 12 meses;</w:t>
      </w:r>
      <w:r>
        <w:br/>
      </w:r>
      <w:r>
        <w:t xml:space="preserve">M-06) Testes de bancada, segurança e autonomia concluídos: T0 + 14 meses;</w:t>
      </w:r>
      <w:r>
        <w:br/>
      </w:r>
      <w:r>
        <w:t xml:space="preserve">M-07) Testes em água doce e salgada concluídos: T0 + 16 meses; e</w:t>
      </w:r>
      <w:r>
        <w:br/>
      </w:r>
      <w:r>
        <w:t xml:space="preserve">M-08) Capacitação, piloto e encerramento concluídos: T0 + 18 meses.</w:t>
      </w:r>
    </w:p>
    <w:p>
      <w:pPr>
        <w:pStyle w:val="BodyText"/>
      </w:pPr>
      <w:r>
        <w:rPr>
          <w:iCs/>
          <w:i/>
        </w:rPr>
        <w:t xml:space="preserve">Os marcos são preliminares e dependem da disponibilidade da empresa responsável pelo sistema e da aprovação da Força de Submarinos.</w:t>
      </w:r>
    </w:p>
    <w:bookmarkEnd w:id="31"/>
    <w:bookmarkStart w:id="32" w:name="gerente-do-projeto"/>
    <w:p>
      <w:pPr>
        <w:pStyle w:val="Heading3"/>
      </w:pPr>
      <w:r>
        <w:rPr>
          <w:color w:val="0F2A4A"/>
        </w:rPr>
        <w:t xml:space="preserve">12. Gerente do projeto</w:t>
      </w:r>
    </w:p>
    <w:p>
      <w:pPr>
        <w:pStyle w:val="FirstParagraph"/>
      </w:pPr>
      <w:r>
        <w:t xml:space="preserve">A designar pela organização responsável. Responsabilidades preliminares: coordenar a equipe; consolidar requisitos; manter o TAP, a EAP e os registros de premissas, riscos, decisões e mudanças; integrar usuários, engenharia, empresa responsável pelo sistema, testes e capacitação; reportar desempenho; e submeter decisões à Força de Submarinos.</w:t>
      </w:r>
    </w:p>
    <w:p>
      <w:pPr>
        <w:pStyle w:val="BodyText"/>
      </w:pPr>
      <w:r>
        <w:t xml:space="preserve">Nível de autoridade proposto: organizar o trabalho, convocar reuniões e propor decisões dentro dos limites aprovados — sem autoridade, neste rascunho, para alterar requisitos críticos ou liberar emprego operacional.</w:t>
      </w:r>
    </w:p>
    <w:bookmarkEnd w:id="32"/>
    <w:bookmarkStart w:id="33" w:name="patrocinador"/>
    <w:p>
      <w:pPr>
        <w:pStyle w:val="Heading3"/>
      </w:pPr>
      <w:r>
        <w:rPr>
          <w:color w:val="0F2A4A"/>
        </w:rPr>
        <w:t xml:space="preserve">13. Patrocinador</w:t>
      </w:r>
    </w:p>
    <w:p>
      <w:pPr>
        <w:pStyle w:val="FirstParagraph"/>
      </w:pPr>
      <w:r>
        <w:t xml:space="preserve">Patrocinador: representante a designar pela organização demandante.</w:t>
      </w:r>
    </w:p>
    <w:p>
      <w:pPr>
        <w:pStyle w:val="BodyText"/>
      </w:pPr>
      <w:r>
        <w:t xml:space="preserve">Autoridade de aprovação: Força de Submarinos, responsável por aprovar requisitos, configuração do MVP, critérios de teste, recebimento, piloto, continuidade e encerramento do projeto.</w:t>
      </w:r>
    </w:p>
    <w:bookmarkEnd w:id="33"/>
    <w:bookmarkStart w:id="34" w:name="requisitos-para-aprovação-do-projeto"/>
    <w:p>
      <w:pPr>
        <w:pStyle w:val="Heading3"/>
      </w:pPr>
      <w:r>
        <w:rPr>
          <w:color w:val="0F2A4A"/>
        </w:rPr>
        <w:t xml:space="preserve">14. Requisitos para aprovação do projeto</w:t>
      </w:r>
    </w:p>
    <w:p>
      <w:pPr>
        <w:pStyle w:val="FirstParagraph"/>
      </w:pPr>
      <w:r>
        <w:t xml:space="preserve">O projeto será considerado aprovado quando houver necessidade operacional reconhecida; autoridade de aprovação definida; gerente e patrocinador designados; usuários representativos identificados; objetivos mensuráveis aceitos; escopo e limites de alto nível definidos; requisitos e critérios de sucesso estabelecidos; riscos iniciais registrados; e recursos necessários à continuidade do planejamento autorizados pela autoridade competente.</w:t>
      </w:r>
    </w:p>
    <w:p>
      <w:pPr>
        <w:pStyle w:val="BodyText"/>
      </w:pPr>
      <w:r>
        <w:t xml:space="preserve">A aprovação do projeto não representa, por si só, autorização para emprego operacional do ROV, devendo essa decisão observar as aprovações institucionais aplicáveis.</w:t>
      </w:r>
    </w:p>
    <w:bookmarkEnd w:id="34"/>
    <w:bookmarkStart w:id="35" w:name="critérios-de-término-do-projeto"/>
    <w:p>
      <w:pPr>
        <w:pStyle w:val="Heading3"/>
      </w:pPr>
      <w:r>
        <w:rPr>
          <w:color w:val="0F2A4A"/>
        </w:rPr>
        <w:t xml:space="preserve">15. Critérios de término do projeto</w:t>
      </w:r>
    </w:p>
    <w:p>
      <w:pPr>
        <w:pStyle w:val="FirstParagraph"/>
      </w:pPr>
      <w:r>
        <w:t xml:space="preserve">O projeto poderá ser encerrado quando a configuração aprovada do ROV tiver sido recebida e integrada; os testes críticos forem concluídos ou formalmente dispensados; os critérios de profundidade, autonomia, vídeo, operação e segurança forem demonstrados ou formalmente aceitos; o treinamento, os sobressalentes, a documentação e o plano de manutenção forem entregues; as pendências forem aceitas ou transferidas; o piloto operacional tiver sido avaliado; e a Força de Submarinos aprovar formalmente o encerramento e a recomendação de continuidade.</w:t>
      </w:r>
    </w:p>
    <w:p>
      <w:pPr>
        <w:pStyle w:val="BodyText"/>
      </w:pPr>
      <w:r>
        <w:t xml:space="preserve">O projeto poderá ser redirecionado ou encerrado antecipadamente caso o envelope operacional não possa ser demonstrado com segurança, os requisitos de modularidade não possam ser atendidos ou a autoridade competente determine que a necessidade deixou de existir.</w:t>
      </w:r>
    </w:p>
    <w:p>
      <w:pPr>
        <w:pStyle w:val="BodyText"/>
      </w:pPr>
      <w:r>
        <w:rPr>
          <w:bCs/>
          <w:b/>
        </w:rPr>
        <w:t xml:space="preserve">Assinatura do Responsável pela Autorização do Início do Projeto</w:t>
      </w:r>
    </w:p>
    <w:bookmarkEnd w:id="35"/>
    <w:bookmarkEnd w:id="36"/>
    <w:bookmarkStart w:id="37" w:name="X9da9680b29d64ca4657e40f6d119cdfd2d2c12e"/>
    <w:p>
      <w:pPr>
        <w:pStyle w:val="Heading2"/>
      </w:pPr>
      <w:r>
        <w:rPr>
          <w:color w:val="0F2A4A"/>
        </w:rPr>
        <w:t xml:space="preserve">III — Registro de alterações de consistência</w:t>
      </w:r>
    </w:p>
    <w:p>
      <w:pPr>
        <w:pStyle w:val="FirstParagraph"/>
      </w:pPr>
      <w:r>
        <w:t xml:space="preserve">Motivo comum a todas as alterações: Obtenção contratual concluída (premissa); o projeto compreende somente recebimento, integração, validação e capacitação. Exceção: A20 corrige apenas a numeração dos indicadores (observação C4). O título do projeto foi mantido conforme o original. Os prazos dos marcos remanescentes não foram alterados.</w:t>
      </w:r>
    </w:p>
    <w:tbl>
      <w:tblPr>
        <w:tblStyle w:val="Table"/>
        <w:tblW w:type="pct" w:w="5000"/>
        <w:jc w:val="center"/>
        <w:tblBorders>
          <w:top w:val="single" w:sz="4" w:space="0" w:color="9AA5B1"/>
          <w:left w:val="single" w:sz="4" w:space="0" w:color="9AA5B1"/>
          <w:bottom w:val="single" w:sz="4" w:space="0" w:color="9AA5B1"/>
          <w:right w:val="single" w:sz="4" w:space="0" w:color="9AA5B1"/>
          <w:insideH w:val="single" w:sz="4" w:space="0" w:color="9AA5B1"/>
          <w:insideV w:val="single" w:sz="4" w:space="0" w:color="9AA5B1"/>
        </w:tblBorders>
        <w:tblLook w:firstRow="1" w:lastRow="0" w:firstColumn="0" w:lastColumn="0" w:noHBand="0" w:noVBand="0" w:val="0020"/>
      </w:tblPr>
      <w:tblGrid>
        <w:gridCol w:w="396"/>
        <w:gridCol w:w="1188"/>
        <w:gridCol w:w="3168"/>
        <w:gridCol w:w="3168"/>
      </w:tblGrid>
      <w:tr>
        <w:trPr>
          <w:tblHeader w:val="true"/>
        </w:trPr>
        <w:tc>
          <w:tcPr>
            <w:shd w:val="clear" w:color="auto" w:fill="0F2A4A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color w:val="FFFFFF"/>
                <w:sz w:val="16"/>
              </w:rPr>
              <w:t xml:space="preserve">Alteração</w:t>
            </w:r>
          </w:p>
        </w:tc>
        <w:tc>
          <w:tcPr>
            <w:shd w:val="clear" w:color="auto" w:fill="0F2A4A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color w:val="FFFFFF"/>
                <w:sz w:val="16"/>
              </w:rPr>
              <w:t xml:space="preserve">Seção</w:t>
            </w:r>
          </w:p>
        </w:tc>
        <w:tc>
          <w:tcPr>
            <w:shd w:val="clear" w:color="auto" w:fill="0F2A4A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color w:val="FFFFFF"/>
                <w:sz w:val="16"/>
              </w:rPr>
              <w:t xml:space="preserve">Texto original</w:t>
            </w:r>
          </w:p>
        </w:tc>
        <w:tc>
          <w:tcPr>
            <w:shd w:val="clear" w:color="auto" w:fill="0F2A4A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color w:val="FFFFFF"/>
                <w:sz w:val="16"/>
              </w:rPr>
              <w:t xml:space="preserve">Texto consolidado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A1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1 — Descrição, 1º parágrafo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especificar, selecionar, adquirir, integrar e validar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especificar, receber, integrar e validar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A2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1 — Descrição, 3º parágrafo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A estratégia preliminar prioriza a aquisição e integração de solução comercial consagrada, com preferência por fornecedores nacionais; a adaptação é admitida e o desenvolvimento do zero é hipótese apenas residual.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A obtenção contratual da solução — pesquisa de mercado, definição da solução e contratação — é premissa do projeto e encontra-se concluída; o escopo do projeto compreende o recebimento, a integração, a validação e a preparação da organização para operar e manter a configuração inicial.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A3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2 — Objetivo do projeto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Adquirir, integrar e validar uma solução ROV modular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Receber, integrar e validar uma solução ROV modular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A4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2 — Objetivo 2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Definir a solução comercial ou adaptada mais adequada (T0 + 4 meses)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Suprimido; objetivos 3 a 8 renumerados como 2 a 7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A5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2 — Objetivo 3 (atual 2)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Adquirir e receber a configuração inicial do MVP (T0 + 12 meses)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Receber a configuração inicial do MVP (T0 + 12 meses)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A6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3 — Requisito 13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O fornecedor deverá fornecer treinamento básico, documentação técnica e sobressalentes iniciais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O recebimento deverá incluir treinamento básico, documentação técnica e sobressalentes iniciais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A7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3 — Requisito 16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A solução deverá priorizar fornecedores e cadeia de suprimentos nacionais quando compatível com os requisitos técnicos, operacionais e de disponibilidade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Suprimido; requisitos 17 e 18 renumerados como 16 e 17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A8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4 — Entrega 5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Estudo de mercado e análise das alternativas de fornecimento, incluindo soluções comerciais, adaptação, cadeia nacional e custo total de propriedade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Suprimida; entregas 6 a 11 renumeradas como 5 a 10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A9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4 — Entrega 7 (atual 6)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ROV adquirido, recebido, integrado e configurado conforme a solução aprovada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ROV recebido, integrado e configurado conforme a configuração aprovada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A10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5 — Justificativa 5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preferência por fornecedores nacionais, sobressalentes, treinamento e apoio de manutenção por cinco anos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sobressalentes, treinamento e apoio de manutenção por cinco anos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A11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6 — Restrição 8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deverá incorporar aquisição, suporte, sobressalentes, treinamento e ciclo de vida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deverá incorporar suporte, sobressalentes, treinamento e ciclo de vida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A12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6 — Restrição 9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A aprovação de requisitos, solução, testes e recebimento dependerá da Força de Submarinos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A aprovação de requisitos, testes e recebimento dependerá da Força de Submarinos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A13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7 — Grupo de custo 1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Aquisição do sistema (ROV, estação de controle, umbilical, energia, câmera, iluminação e estrutura do MVP)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Suprimido; grupos 2 a 8 renumerados como 1 a 7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A14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7 — Grupo de custo 6 (atual 5)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peças iniciais, ferramentas, contrato de 5 anos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peças iniciais, ferramentas, apoio de manutenção de 5 anos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A15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8 — Parte interessada 7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Setores de aquisição e assessoria jurídica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Suprimida; partes interessadas 8 a 11 renumeradas como 7 a 10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A16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8 — Parte interessada 8 (atual 7)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Fornecedores nacionais e integradores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Empresa responsável pelo sistema ROV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A17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9 — Riscos 1.2 e 1.7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criando dependência do fornecedor; Dependência de fornecedor ou componentes sem suporte por 10 anos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criando dependência da empresa responsável pelo sistema; Dependência da empresa responsável pelo sistema ou de componentes sem suporte por 10 anos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A18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9 — Risco 1.8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Atraso em contratação, autorização de área ou disponibilidade de água doce/salgada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Atraso em autorização de área ou disponibilidade de água doce/salgada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A19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9 — Oportunidades 2.1 e 2.2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Existência de soluções comerciais consagradas pode reduzir prazo e custo de aquisição; Preferência por cadeia nacional pode ampliar a disponibilidade de suporte e sobressalentes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Suprimidas (referiam-se à fase de aquisição)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A20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10 — Indicadores-chave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8.1) a 8.5)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10.1 a 10.5 (correção de numeração, sem alteração de conteúdo)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A21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11 — Marcos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M-04) Pesquisa de mercado e custo total de propriedade concluídos; M-05) Arquitetura modular e estratégia de fornecimento aprovadas; M-06) Contratação ou aquisição autorizada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M-04 e M-06 suprimidos; M-05 passa a M-04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“</w:t>
            </w:r>
            <w:r>
              <w:rPr>
                <w:sz w:val="16"/>
              </w:rPr>
              <w:t xml:space="preserve">Arquitetura modular aprovada</w:t>
            </w:r>
            <w:r>
              <w:rPr>
                <w:sz w:val="16"/>
              </w:rPr>
              <w:t xml:space="preserve">”</w:t>
            </w:r>
            <w:r>
              <w:rPr>
                <w:sz w:val="16"/>
              </w:rPr>
              <w:t xml:space="preserve">; M-07 a M-10 renumerados como M-05 a M-08, com os mesmos prazos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A22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11 — Nota dos marcos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dependem da modalidade de contratação, disponibilidade do fornecedor e aprovação da Força de Submarinos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dependem da disponibilidade da empresa responsável pelo sistema e da aprovação da Força de Submarinos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A23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12 — Gerente do projeto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integrar usuários, engenharia, aquisição, fornecedor, testes e capacitação; … para autorizar contratação, alterar requisitos críticos ou liberar emprego operacional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integrar usuários, engenharia, empresa responsável pelo sistema, testes e capacitação; … para alterar requisitos críticos ou liberar emprego operacional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A24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13 — Patrocinador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aprovar requisitos, configuração do MVP, estratégia de fornecimento, critérios de teste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aprovar requisitos, configuração do MVP, critérios de teste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A25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14 e 15 — Aprovação e término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autorização para contratação, aquisição ou emprego operacional do ROV, devendo essas decisões…; caso não seja identificada solução adequada no mercado, …, o custo total de propriedade seja incompatível com o benefício esperado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autorização para emprego operacional do ROV, devendo essa decisão…; O projeto poderá ser redirecionado ou encerrado antecipadamente caso o envelope operacional não possa ser demonstrado com segurança, os requisitos de modularidade não possam ser atendidos ou a autoridade competente determine que a necessidade deixou de existir</w:t>
            </w:r>
          </w:p>
        </w:tc>
      </w:tr>
    </w:tbl>
    <w:bookmarkEnd w:id="37"/>
    <w:bookmarkStart w:id="38" w:name="fontes"/>
    <w:p>
      <w:pPr>
        <w:pStyle w:val="Heading2"/>
      </w:pPr>
      <w:r>
        <w:rPr>
          <w:color w:val="0F2A4A"/>
        </w:rPr>
        <w:t xml:space="preserve">Fontes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tarefas/Tarefa 01 - TAP.docx</w:t>
      </w:r>
      <w:r>
        <w:t xml:space="preserve"> </w:t>
      </w:r>
      <w:r>
        <w:t xml:space="preserve">— versão original (preservada).</w:t>
      </w:r>
    </w:p>
    <w:p>
      <w:pPr>
        <w:numPr>
          <w:ilvl w:val="0"/>
          <w:numId w:val="1008"/>
        </w:numPr>
        <w:pStyle w:val="Compact"/>
      </w:pPr>
      <w:r>
        <w:t xml:space="preserve">Decisão do responsável pelo projeto: obtenção contratual considerada concluída; projeto restrito a recebimento, integração, validação e capacitação.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skills/SKILL_1_Tarefa_1_TAP_ROV_MB.md</w:t>
      </w:r>
      <w:r>
        <w:t xml:space="preserve"> </w:t>
      </w:r>
      <w:r>
        <w:t xml:space="preserve">— regra de alteração do TAP somente por consistência, de forma identificada.</w:t>
      </w:r>
    </w:p>
    <w:bookmarkEnd w:id="38"/>
    <w:bookmarkEnd w:id="39"/>
    <w:sectPr>
      <w:pgSz w:w="11906" w:h="16838"/>
      <w:pgMar w:left="1100" w:right="1100" w:top="1100" w:bottom="110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21">
    <w:nsid w:val="A99421"/>
    <w:multiLevelType w:val="multilevel"/>
    <w:lvl w:ilvl="0">
      <w:start w:val="1"/>
      <w:numFmt w:val="decimal"/>
      <w:lvlText w:val="%1)"/>
      <w:lvlJc w:val="left"/>
      <w:pPr>
        <w:ind w:left="720" w:hanging="480"/>
      </w:pPr>
    </w:lvl>
    <w:lvl w:ilvl="1">
      <w:start w:val="1"/>
      <w:numFmt w:val="decimal"/>
      <w:lvlText w:val="%2)"/>
      <w:lvlJc w:val="left"/>
      <w:pPr>
        <w:ind w:left="1440" w:hanging="480"/>
      </w:pPr>
    </w:lvl>
    <w:lvl w:ilvl="2">
      <w:start w:val="1"/>
      <w:numFmt w:val="decimal"/>
      <w:lvlText w:val="%3)"/>
      <w:lvlJc w:val="left"/>
      <w:pPr>
        <w:ind w:left="2160" w:hanging="480"/>
      </w:pPr>
    </w:lvl>
    <w:lvl w:ilvl="3">
      <w:start w:val="1"/>
      <w:numFmt w:val="decimal"/>
      <w:lvlText w:val="%4)"/>
      <w:lvlJc w:val="left"/>
      <w:pPr>
        <w:ind w:left="2880" w:hanging="480"/>
      </w:pPr>
    </w:lvl>
    <w:lvl w:ilvl="4">
      <w:start w:val="1"/>
      <w:numFmt w:val="decimal"/>
      <w:lvlText w:val="%5)"/>
      <w:lvlJc w:val="left"/>
      <w:pPr>
        <w:ind w:left="3600" w:hanging="480"/>
      </w:pPr>
    </w:lvl>
    <w:lvl w:ilvl="5">
      <w:start w:val="1"/>
      <w:numFmt w:val="decimal"/>
      <w:lvlText w:val="%6)"/>
      <w:lvlJc w:val="left"/>
      <w:pPr>
        <w:ind w:left="4320" w:hanging="480"/>
      </w:pPr>
    </w:lvl>
    <w:lvl w:ilvl="6">
      <w:start w:val="1"/>
      <w:numFmt w:val="decimal"/>
      <w:lvlText w:val="%7)"/>
      <w:lvlJc w:val="left"/>
      <w:pPr>
        <w:ind w:left="5040" w:hanging="480"/>
      </w:pPr>
    </w:lvl>
    <w:lvl w:ilvl="7">
      <w:start w:val="1"/>
      <w:numFmt w:val="decimal"/>
      <w:lvlText w:val="%8)"/>
      <w:lvlJc w:val="left"/>
      <w:pPr>
        <w:ind w:left="5760" w:hanging="480"/>
      </w:pPr>
    </w:lvl>
    <w:lvl w:ilvl="8">
      <w:start w:val="1"/>
      <w:numFmt w:val="decimal"/>
      <w:lvlText w:val="%9)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hAnsi="Arial" w:cs="Arial" w:eastAsia="Arial"/>
      <w:sz w:val="20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hAnsi="Arial" w:cs="Arial" w:eastAsia="Arial"/>
    </w:rPr>
  </w:style>
  <w:style w:customStyle="1" w:styleId="FirstParagraph" w:type="paragraph">
    <w:name w:val="First Paragraph"/>
    <w:basedOn w:val="BodyText"/>
    <w:next w:val="BodyText"/>
    <w:qFormat/>
    <w:rPr>
      <w:rFonts w:ascii="Arial" w:hAnsi="Arial" w:cs="Arial" w:eastAsia="Arial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hAnsi="Arial" w:cs="Arial" w:eastAsia="Arial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rial" w:hAnsi="Arial" w:cs="Arial" w:eastAsia="Arial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Arial" w:hAnsi="Arial" w:cs="Arial" w:eastAsia="Arial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Arial" w:hAnsi="Arial" w:cs="Arial" w:eastAsia="Arial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Arial" w:hAnsi="Arial" w:cs="Arial" w:eastAsia="Arial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rFonts w:ascii="Arial" w:hAnsi="Arial" w:cs="Arial" w:eastAsia="Arial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Arial" w:hAnsi="Arial" w:cs="Arial" w:eastAsia="Arial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Arial" w:hAnsi="Arial" w:cs="Arial" w:eastAsia="Arial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Arial" w:hAnsi="Arial" w:cs="Arial" w:eastAsia="Arial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Arial" w:hAnsi="Arial" w:cs="Arial" w:eastAsia="Arial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Arial" w:hAnsi="Arial" w:cs="Arial" w:eastAsia="Arial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Arial" w:hAnsi="Arial" w:cs="Arial" w:eastAsia="Arial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Arial" w:hAnsi="Arial" w:cs="Arial" w:eastAsia="Arial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Arial" w:hAnsi="Arial" w:cs="Arial" w:eastAsia="Arial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Arial" w:hAnsi="Arial" w:cs="Arial" w:eastAsia="Arial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Arial" w:hAnsi="Arial" w:cs="Arial" w:eastAsia="Arial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Arial" w:hAnsi="Arial" w:cs="Arial" w:eastAsia="Arial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Arial" w:hAnsi="Arial" w:cs="Arial" w:eastAsia="Arial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Arial" w:hAnsi="Arial" w:cs="Arial" w:eastAsia="Arial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Arial" w:hAnsi="Arial" w:cs="Arial" w:eastAsia="Arial"/>
      <w:b/>
    </w:rPr>
  </w:style>
  <w:style w:customStyle="1" w:styleId="Definition" w:type="paragraph">
    <w:name w:val="Definition"/>
    <w:basedOn w:val="Normal"/>
    <w:rPr>
      <w:rFonts w:ascii="Arial" w:hAnsi="Arial" w:cs="Arial" w:eastAsia="Arial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Arial" w:hAnsi="Arial" w:cs="Arial" w:eastAsia="Arial"/>
      <w:i/>
    </w:rPr>
  </w:style>
  <w:style w:customStyle="1" w:styleId="TableCaption" w:type="paragraph">
    <w:name w:val="Table Caption"/>
    <w:basedOn w:val="Caption"/>
    <w:pPr>
      <w:keepNext/>
    </w:pPr>
    <w:rPr>
      <w:rFonts w:ascii="Arial" w:hAnsi="Arial" w:cs="Arial" w:eastAsia="Arial"/>
    </w:rPr>
  </w:style>
  <w:style w:customStyle="1" w:styleId="ImageCaption" w:type="paragraph">
    <w:name w:val="Image Caption"/>
    <w:basedOn w:val="Caption"/>
    <w:rPr>
      <w:rFonts w:ascii="Arial" w:hAnsi="Arial" w:cs="Arial" w:eastAsia="Arial"/>
    </w:rPr>
  </w:style>
  <w:style w:customStyle="1" w:styleId="Figure" w:type="paragraph">
    <w:name w:val="Figure"/>
    <w:basedOn w:val="Normal"/>
    <w:rPr>
      <w:rFonts w:ascii="Arial" w:hAnsi="Arial" w:cs="Arial" w:eastAsia="Arial"/>
    </w:rPr>
  </w:style>
  <w:style w:customStyle="1" w:styleId="CaptionedFigure" w:type="paragraph">
    <w:name w:val="Captioned Figure"/>
    <w:basedOn w:val="Figure"/>
    <w:pPr>
      <w:keepNext/>
    </w:pPr>
    <w:rPr>
      <w:rFonts w:ascii="Arial" w:hAnsi="Arial" w:cs="Arial" w:eastAsia="Arial"/>
    </w:r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rial" w:hAnsi="Arial" w:cs="Arial" w:eastAsia="Arial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Arial" w:hAnsi="Arial" w:cs="Arial" w:eastAsia="Arial"/>
    </w:r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tarefa-1-revisada</dc:title>
  <dc:creator/>
  <cp:keywords/>
  <dcterms:created xsi:type="dcterms:W3CDTF">2026-10-06T20:17:24Z</dcterms:created>
  <dcterms:modified xsi:type="dcterms:W3CDTF">2026-10-06T20:17:24Z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