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3FBC" w:rsidRPr="00DB2267" w:rsidRDefault="003A3FBC" w:rsidP="003A3FBC">
      <w:pPr>
        <w:pStyle w:val="Standard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F2256D" w:rsidRPr="00DB2267" w:rsidRDefault="00F2256D" w:rsidP="003A3FBC">
      <w:pPr>
        <w:pStyle w:val="Standard"/>
        <w:rPr>
          <w:rFonts w:ascii="Arial" w:hAnsi="Arial"/>
          <w:b/>
          <w:bCs/>
        </w:rPr>
      </w:pPr>
      <w:r w:rsidRPr="00DB2267">
        <w:rPr>
          <w:rFonts w:ascii="Arial" w:hAnsi="Arial"/>
          <w:b/>
          <w:bCs/>
        </w:rPr>
        <w:t xml:space="preserve">I – </w:t>
      </w:r>
      <w:r w:rsidR="00622830" w:rsidRPr="00DB2267">
        <w:rPr>
          <w:rFonts w:ascii="Arial" w:hAnsi="Arial"/>
          <w:b/>
          <w:bCs/>
        </w:rPr>
        <w:t>ENUNCIADO</w:t>
      </w:r>
      <w:r w:rsidR="001D2657" w:rsidRPr="00DB2267">
        <w:rPr>
          <w:rFonts w:ascii="Arial" w:hAnsi="Arial"/>
          <w:b/>
          <w:bCs/>
        </w:rPr>
        <w:t xml:space="preserve"> DO TRABALHO</w:t>
      </w:r>
    </w:p>
    <w:p w:rsidR="00F2256D" w:rsidRPr="00DB2267" w:rsidRDefault="00F2256D" w:rsidP="003A3FBC">
      <w:pPr>
        <w:pStyle w:val="Standard"/>
        <w:rPr>
          <w:rFonts w:ascii="Arial" w:hAnsi="Arial"/>
          <w:b/>
          <w:bCs/>
        </w:rPr>
      </w:pPr>
    </w:p>
    <w:p w:rsidR="00F2256D" w:rsidRPr="00DB2267" w:rsidRDefault="00622830" w:rsidP="0042446B">
      <w:pPr>
        <w:pStyle w:val="Standard"/>
        <w:ind w:firstLine="1134"/>
        <w:jc w:val="both"/>
        <w:rPr>
          <w:rFonts w:ascii="Arial" w:hAnsi="Arial"/>
          <w:bCs/>
        </w:rPr>
      </w:pPr>
      <w:r>
        <w:rPr>
          <w:rFonts w:ascii="Arial" w:hAnsi="Arial"/>
          <w:bCs/>
        </w:rPr>
        <w:t xml:space="preserve">O Projeto ROV-MB tem por objetivo receber, integrar e validar um veículo submarino operado remotamente (ROV) modular, já adquirido, destinado à inspeção visual e à busca de objetos submersos pela Marinha do Brasil. O ROV será operado a partir de terra, por um militar treinado, em água doce e salgada, com câmera e iluminação, profundidade nominal de 10 m, máxima de 30 m, e autonomia mínima de 2h30.</w:t>
      </w:r>
    </w:p>
    <w:p w:rsidR="000F2103" w:rsidRPr="00DB2267" w:rsidRDefault="000F2103" w:rsidP="00622830">
      <w:pPr>
        <w:pStyle w:val="Standard"/>
        <w:ind w:firstLine="1134"/>
        <w:rPr>
          <w:rFonts w:ascii="Arial" w:hAnsi="Arial"/>
          <w:bCs/>
        </w:rPr>
      </w:pPr>
    </w:p>
    <w:p w:rsidR="000F2103" w:rsidRPr="00DB2267" w:rsidRDefault="000F2103" w:rsidP="00622830">
      <w:pPr>
        <w:pStyle w:val="Standard"/>
        <w:ind w:firstLine="1134"/>
        <w:rPr>
          <w:rFonts w:ascii="Arial" w:hAnsi="Arial"/>
          <w:bCs/>
        </w:rPr>
      </w:pPr>
      <w:r>
        <w:rPr>
          <w:rFonts w:ascii="Arial" w:hAnsi="Arial"/>
          <w:bCs/>
        </w:rPr>
        <w:t xml:space="preserve">Foram elaborados os seguintes documentos para esse projeto:</w:t>
      </w:r>
    </w:p>
    <w:p w:rsidR="000F2103" w:rsidRPr="00DB2267" w:rsidRDefault="000F2103" w:rsidP="00622830">
      <w:pPr>
        <w:pStyle w:val="Standard"/>
        <w:ind w:firstLine="1134"/>
        <w:rPr>
          <w:rFonts w:ascii="Arial" w:hAnsi="Arial"/>
          <w:bCs/>
        </w:rPr>
      </w:pPr>
    </w:p>
    <w:p w:rsidR="000F2103" w:rsidRPr="00DB2267" w:rsidRDefault="000F2103" w:rsidP="001A5376">
      <w:pPr>
        <w:pStyle w:val="Standard"/>
        <w:ind w:left="2421"/>
        <w:rPr>
          <w:rFonts w:ascii="Arial" w:hAnsi="Arial"/>
          <w:bCs/>
        </w:rPr>
      </w:pPr>
    </w:p>
    <w:p w:rsidR="000F2103" w:rsidRPr="00DB2267" w:rsidRDefault="000F2103" w:rsidP="000F2103">
      <w:pPr>
        <w:pStyle w:val="Standard"/>
        <w:numPr>
          <w:ilvl w:val="0"/>
          <w:numId w:val="1"/>
        </w:numPr>
        <w:rPr>
          <w:rFonts w:ascii="Arial" w:hAnsi="Arial"/>
          <w:bCs/>
        </w:rPr>
      </w:pPr>
      <w:r w:rsidRPr="00DB2267">
        <w:rPr>
          <w:rFonts w:ascii="Arial" w:hAnsi="Arial"/>
          <w:bCs/>
        </w:rPr>
        <w:t>EAP;</w:t>
      </w:r>
    </w:p>
    <w:p w:rsidR="000F2103" w:rsidRDefault="000F2103" w:rsidP="000F2103">
      <w:pPr>
        <w:pStyle w:val="Standard"/>
        <w:numPr>
          <w:ilvl w:val="0"/>
          <w:numId w:val="1"/>
        </w:numPr>
        <w:rPr>
          <w:rFonts w:ascii="Arial" w:hAnsi="Arial"/>
          <w:bCs/>
        </w:rPr>
      </w:pPr>
      <w:r w:rsidRPr="00DB2267">
        <w:rPr>
          <w:rFonts w:ascii="Arial" w:hAnsi="Arial"/>
          <w:bCs/>
        </w:rPr>
        <w:t>Dicionário da EAP;</w:t>
      </w:r>
    </w:p>
    <w:p w:rsidR="001A5376" w:rsidRPr="00DB2267" w:rsidRDefault="001A5376" w:rsidP="000F2103">
      <w:pPr>
        <w:pStyle w:val="Standard"/>
        <w:numPr>
          <w:ilvl w:val="0"/>
          <w:numId w:val="1"/>
        </w:numPr>
        <w:rPr>
          <w:rFonts w:ascii="Arial" w:hAnsi="Arial"/>
          <w:bCs/>
        </w:rPr>
      </w:pPr>
      <w:r w:rsidRPr="00DB2267">
        <w:rPr>
          <w:rFonts w:ascii="Arial" w:hAnsi="Arial"/>
          <w:bCs/>
        </w:rPr>
        <w:t xml:space="preserve">Matriz de </w:t>
      </w:r>
      <w:r w:rsidR="00EE612C">
        <w:rPr>
          <w:rFonts w:ascii="Arial" w:hAnsi="Arial"/>
          <w:bCs/>
        </w:rPr>
        <w:t xml:space="preserve">Rastreabilidade de </w:t>
      </w:r>
      <w:r w:rsidRPr="00DB2267">
        <w:rPr>
          <w:rFonts w:ascii="Arial" w:hAnsi="Arial"/>
          <w:bCs/>
        </w:rPr>
        <w:t>Requisitos</w:t>
      </w:r>
      <w:r>
        <w:rPr>
          <w:rFonts w:ascii="Arial" w:hAnsi="Arial"/>
          <w:bCs/>
        </w:rPr>
        <w:t>; e</w:t>
      </w:r>
    </w:p>
    <w:p w:rsidR="000F2103" w:rsidRPr="00DB2267" w:rsidRDefault="000F2103" w:rsidP="000F2103">
      <w:pPr>
        <w:pStyle w:val="Standard"/>
        <w:numPr>
          <w:ilvl w:val="0"/>
          <w:numId w:val="1"/>
        </w:numPr>
        <w:rPr>
          <w:rFonts w:ascii="Arial" w:hAnsi="Arial"/>
          <w:bCs/>
        </w:rPr>
      </w:pPr>
      <w:r w:rsidRPr="00DB2267">
        <w:rPr>
          <w:rFonts w:ascii="Arial" w:hAnsi="Arial"/>
          <w:bCs/>
        </w:rPr>
        <w:t>Matriz da Qualidade.</w:t>
      </w:r>
    </w:p>
    <w:p w:rsidR="00F2256D" w:rsidRPr="00DB2267" w:rsidRDefault="00F2256D" w:rsidP="003A3FBC">
      <w:pPr>
        <w:pStyle w:val="Standard"/>
        <w:rPr>
          <w:rFonts w:ascii="Arial" w:hAnsi="Arial"/>
          <w:b/>
          <w:bCs/>
        </w:rPr>
      </w:pPr>
    </w:p>
    <w:p w:rsidR="00AF267E" w:rsidRDefault="00AF267E">
      <w:pPr>
        <w:rPr>
          <w:rFonts w:ascii="Arial" w:eastAsia="SimSun" w:hAnsi="Arial" w:cs="Arial"/>
          <w:b/>
          <w:bCs/>
          <w:kern w:val="3"/>
          <w:sz w:val="24"/>
          <w:szCs w:val="24"/>
          <w:lang w:eastAsia="zh-CN" w:bidi="hi-IN"/>
        </w:rPr>
      </w:pPr>
      <w:r>
        <w:rPr>
          <w:rFonts w:ascii="Arial" w:hAnsi="Arial"/>
          <w:b/>
          <w:bCs/>
        </w:rPr>
        <w:br w:type="page"/>
      </w:r>
    </w:p>
    <w:p w:rsidR="00D85B4E" w:rsidRPr="00DB2267" w:rsidRDefault="00D85B4E" w:rsidP="00D85B4E">
      <w:pPr>
        <w:pStyle w:val="Standard"/>
        <w:rPr>
          <w:rFonts w:ascii="Arial" w:hAnsi="Arial"/>
          <w:b/>
          <w:bCs/>
        </w:rPr>
      </w:pPr>
      <w:r w:rsidRPr="00DB2267">
        <w:rPr>
          <w:rFonts w:ascii="Arial" w:hAnsi="Arial"/>
          <w:b/>
          <w:bCs/>
        </w:rPr>
        <w:lastRenderedPageBreak/>
        <w:t>I – ESTRUTURA ANALÍTICA DO PROJETO (EAP)</w:t>
      </w:r>
      <w:r w:rsidR="001B5FB3">
        <w:rPr>
          <w:rFonts w:ascii="Arial" w:hAnsi="Arial"/>
          <w:b/>
          <w:bCs/>
        </w:rPr>
        <w:t xml:space="preserve"> (Processo 5.4 PMBOK)</w:t>
      </w:r>
    </w:p>
    <w:p w:rsidR="00D85B4E" w:rsidRPr="00DB2267" w:rsidRDefault="00D85B4E" w:rsidP="00D85B4E">
      <w:pPr>
        <w:pStyle w:val="Standard"/>
        <w:rPr>
          <w:rFonts w:ascii="Arial" w:hAnsi="Arial"/>
          <w:b/>
          <w:bCs/>
        </w:rPr>
      </w:pPr>
    </w:p>
    <w:p w:rsidR="00C10152" w:rsidRPr="00DB2267" w:rsidRDefault="00B34AB2" w:rsidP="00D85B4E">
      <w:pPr>
        <w:pStyle w:val="Standard"/>
        <w:jc w:val="center"/>
        <w:rPr>
          <w:rFonts w:ascii="Arial" w:hAnsi="Arial"/>
          <w:b/>
          <w:bCs/>
        </w:rPr>
      </w:pPr>
      <w:r>
        <w:rPr>
          <w:rFonts w:ascii="Arial" w:hAnsi="Arial"/>
          <w:b/>
          <w:bCs/>
          <w:noProof/>
        </w:rPr>
        <w:drawing>
          <wp:anchor distT="0" distB="0" distL="114300" distR="114300" simplePos="0" relativeHeight="251760640" behindDoc="0" locked="0" layoutInCell="1" allowOverlap="1">
            <wp:simplePos x="0" y="0"/>
            <wp:positionH relativeFrom="column">
              <wp:posOffset>-747395</wp:posOffset>
            </wp:positionH>
            <wp:positionV relativeFrom="paragraph">
              <wp:posOffset>226695</wp:posOffset>
            </wp:positionV>
            <wp:extent cx="10448925" cy="4688205"/>
            <wp:effectExtent l="0" t="0" r="28575" b="17145"/>
            <wp:wrapNone/>
            <wp:docPr id="10" name="Agrupar 10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0448925" cy="4688205"/>
                      <a:chOff x="0" y="0"/>
                      <a:chExt cx="10448925" cy="4688205"/>
                    </a:xfrm>
                  </wpg:grpSpPr>
                  <wps:wsp>
                    <wps:cNvPr id="3000" name="Caixa de Texto 2"/>
                    <wps:cNvSpPr txBox="1">
                      <a:spLocks noChangeArrowheads="1"/>
                    </wps:cNvSpPr>
                    <wps:spPr bwMode="auto">
                      <a:xfrm>
                        <a:off x="2154380" y="0"/>
                        <a:ext cx="4841240" cy="28448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E95416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24"/>
                              <w:szCs w:val="24"/>
                            </w:rPr>
                            <w:t xml:space="preserve">PROJETO ROV-MB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01" name="Conexão reta"/>
                    <wps:cNvCnPr/>
                    <wps:spPr>
                      <a:xfrm>
                        <a:off x="4575000" y="284480"/>
                        <a:ext cx="0" cy="32512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2" name="Conexão reta"/>
                    <wps:cNvCnPr/>
                    <wps:spPr>
                      <a:xfrm>
                        <a:off x="900000" y="609600"/>
                        <a:ext cx="735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3" name="Conexão reta"/>
                    <wps:cNvCnPr/>
                    <wps:spPr>
                      <a:xfrm>
                        <a:off x="900000" y="609600"/>
                        <a:ext cx="0" cy="32385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4" name="Caixa de Texto 2"/>
                    <wps:cNvSpPr txBox="1">
                      <a:spLocks noChangeArrowheads="1"/>
                    </wps:cNvSpPr>
                    <wps:spPr bwMode="auto">
                      <a:xfrm>
                        <a:off x="25000" y="933450"/>
                        <a:ext cx="1750000" cy="47625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D15405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1. GERENCIAMENTO DO PROJETO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05" name="Conexão reta"/>
                    <wps:cNvCnPr/>
                    <wps:spPr>
                      <a:xfrm>
                        <a:off x="3350000" y="609600"/>
                        <a:ext cx="0" cy="32385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6" name="Caixa de Texto 2"/>
                    <wps:cNvSpPr txBox="1">
                      <a:spLocks noChangeArrowheads="1"/>
                    </wps:cNvSpPr>
                    <wps:spPr bwMode="auto">
                      <a:xfrm>
                        <a:off x="2475000" y="933450"/>
                        <a:ext cx="1750000" cy="47625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D15405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2. NECESSIDADES E REQUISITOS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07" name="Conexão reta"/>
                    <wps:cNvCnPr/>
                    <wps:spPr>
                      <a:xfrm>
                        <a:off x="5800000" y="609600"/>
                        <a:ext cx="0" cy="32385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8" name="Caixa de Texto 2"/>
                    <wps:cNvSpPr txBox="1">
                      <a:spLocks noChangeArrowheads="1"/>
                    </wps:cNvSpPr>
                    <wps:spPr bwMode="auto">
                      <a:xfrm>
                        <a:off x="4925000" y="933450"/>
                        <a:ext cx="1750000" cy="47625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D15405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3. RECEBIMENTO DO ROV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09" name="Conexão reta"/>
                    <wps:cNvCnPr/>
                    <wps:spPr>
                      <a:xfrm>
                        <a:off x="5800000" y="1409700"/>
                        <a:ext cx="0" cy="257500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0" name="Conexão reta"/>
                    <wps:cNvCnPr/>
                    <wps:spPr>
                      <a:xfrm>
                        <a:off x="5800000" y="203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1" name="Caixa de Texto 2"/>
                    <wps:cNvSpPr txBox="1">
                      <a:spLocks noChangeArrowheads="1"/>
                    </wps:cNvSpPr>
                    <wps:spPr bwMode="auto">
                      <a:xfrm>
                        <a:off x="6100000" y="180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3.1. TAF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12" name="Conexão reta"/>
                    <wps:cNvCnPr/>
                    <wps:spPr>
                      <a:xfrm>
                        <a:off x="5800000" y="268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3" name="Caixa de Texto 2"/>
                    <wps:cNvSpPr txBox="1">
                      <a:spLocks noChangeArrowheads="1"/>
                    </wps:cNvSpPr>
                    <wps:spPr bwMode="auto">
                      <a:xfrm>
                        <a:off x="6100000" y="245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3.2. TAM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14" name="Conexão reta"/>
                    <wps:cNvCnPr/>
                    <wps:spPr>
                      <a:xfrm>
                        <a:off x="5800000" y="333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5" name="Caixa de Texto 2"/>
                    <wps:cNvSpPr txBox="1">
                      <a:spLocks noChangeArrowheads="1"/>
                    </wps:cNvSpPr>
                    <wps:spPr bwMode="auto">
                      <a:xfrm>
                        <a:off x="6100000" y="310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3.3. APROVAÇÃO DAS PLANILHAS DE TESTES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16" name="Conexão reta"/>
                    <wps:cNvCnPr/>
                    <wps:spPr>
                      <a:xfrm>
                        <a:off x="5800000" y="398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7" name="Caixa de Texto 2"/>
                    <wps:cNvSpPr txBox="1">
                      <a:spLocks noChangeArrowheads="1"/>
                    </wps:cNvSpPr>
                    <wps:spPr bwMode="auto">
                      <a:xfrm>
                        <a:off x="6100000" y="375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3.4. RECEBIMENTO DE SOBRESSALENTES E CONSUMÍVEIS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18" name="Conexão reta"/>
                    <wps:cNvCnPr/>
                    <wps:spPr>
                      <a:xfrm>
                        <a:off x="8250000" y="609600"/>
                        <a:ext cx="0" cy="32385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9" name="Caixa de Texto 2"/>
                    <wps:cNvSpPr txBox="1">
                      <a:spLocks noChangeArrowheads="1"/>
                    </wps:cNvSpPr>
                    <wps:spPr bwMode="auto">
                      <a:xfrm>
                        <a:off x="7375000" y="933450"/>
                        <a:ext cx="1750000" cy="47625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D15405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4. CAPACITAÇÃO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20" name="Conexão reta"/>
                    <wps:cNvCnPr/>
                    <wps:spPr>
                      <a:xfrm>
                        <a:off x="8250000" y="1409700"/>
                        <a:ext cx="0" cy="127500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1" name="Conexão reta"/>
                    <wps:cNvCnPr/>
                    <wps:spPr>
                      <a:xfrm>
                        <a:off x="8250000" y="203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2" name="Caixa de Texto 2"/>
                    <wps:cNvSpPr txBox="1">
                      <a:spLocks noChangeArrowheads="1"/>
                    </wps:cNvSpPr>
                    <wps:spPr bwMode="auto">
                      <a:xfrm>
                        <a:off x="8550000" y="180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4.1. CURSOS E PILOTO OPERACIONAL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  <wps:wsp>
                    <wps:cNvPr id="3023" name="Conexão reta"/>
                    <wps:cNvCnPr/>
                    <wps:spPr>
                      <a:xfrm>
                        <a:off x="8250000" y="2684700"/>
                        <a:ext cx="300000" cy="0"/>
                      </a:xfrm>
                      <a:prstGeom prst="line">
                        <a:avLst/>
                      </a:prstGeom>
                      <a:ln w="254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4" name="Caixa de Texto 2"/>
                    <wps:cNvSpPr txBox="1">
                      <a:spLocks noChangeArrowheads="1"/>
                    </wps:cNvSpPr>
                    <wps:spPr bwMode="auto">
                      <a:xfrm>
                        <a:off x="8550000" y="2459700"/>
                        <a:ext cx="1750000" cy="45000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6061E" w:rsidRPr="00D15405" w:rsidRDefault="0086061E" w:rsidP="003A526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00"/>
                              <w:sz w:val="16"/>
                              <w:szCs w:val="16"/>
                            </w:rPr>
                            <w:t xml:space="preserve">4.2. DOCUMENTAÇÃO TÉCNICA E GESTÃO DO CONHECIMENTO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wpg:wgp>
              </a:graphicData>
            </a:graphic>
          </wp:anchor>
        </w:drawing>
      </w:r>
    </w:p>
    <w:p w:rsidR="00C10152" w:rsidRPr="00DB2267" w:rsidRDefault="00C10152" w:rsidP="00D85B4E">
      <w:pPr>
        <w:pStyle w:val="Standard"/>
        <w:jc w:val="center"/>
        <w:rPr>
          <w:rFonts w:ascii="Arial" w:hAnsi="Arial"/>
          <w:b/>
          <w:bCs/>
        </w:rPr>
      </w:pPr>
    </w:p>
    <w:p w:rsidR="00C10152" w:rsidRPr="00DB2267" w:rsidRDefault="00C10152" w:rsidP="00D85B4E">
      <w:pPr>
        <w:pStyle w:val="Standard"/>
        <w:jc w:val="center"/>
        <w:rPr>
          <w:rFonts w:ascii="Arial" w:hAnsi="Arial"/>
          <w:b/>
          <w:bCs/>
        </w:rPr>
      </w:pPr>
    </w:p>
    <w:p w:rsidR="00C10152" w:rsidRPr="00DB2267" w:rsidRDefault="00C10152" w:rsidP="00D85B4E">
      <w:pPr>
        <w:pStyle w:val="Standard"/>
        <w:jc w:val="center"/>
        <w:rPr>
          <w:rFonts w:ascii="Arial" w:hAnsi="Arial"/>
          <w:b/>
          <w:bCs/>
        </w:rPr>
      </w:pPr>
    </w:p>
    <w:p w:rsidR="00D85B4E" w:rsidRPr="00DB2267" w:rsidRDefault="00D85B4E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104230" w:rsidP="00D85B4E">
      <w:pPr>
        <w:pStyle w:val="Standard"/>
        <w:jc w:val="center"/>
        <w:rPr>
          <w:rFonts w:ascii="Arial" w:hAnsi="Arial"/>
          <w:b/>
          <w:bCs/>
        </w:rPr>
      </w:pPr>
      <w:r w:rsidRPr="00DB2267">
        <w:rPr>
          <w:rFonts w:ascii="Arial" w:hAnsi="Arial"/>
          <w:b/>
          <w:bCs/>
        </w:rPr>
        <w:t xml:space="preserve"> </w:t>
      </w: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D15405" w:rsidRPr="00DB2267" w:rsidRDefault="00D15405" w:rsidP="00D85B4E">
      <w:pPr>
        <w:pStyle w:val="Standard"/>
        <w:jc w:val="center"/>
        <w:rPr>
          <w:rFonts w:ascii="Arial" w:hAnsi="Arial"/>
          <w:b/>
          <w:bCs/>
        </w:rPr>
      </w:pPr>
    </w:p>
    <w:p w:rsidR="00AE704F" w:rsidRPr="00DB2267" w:rsidRDefault="00AE704F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3A5263" w:rsidRPr="00DB2267" w:rsidRDefault="003A5263" w:rsidP="00D85B4E">
      <w:pPr>
        <w:pStyle w:val="Standard"/>
        <w:jc w:val="center"/>
        <w:rPr>
          <w:rFonts w:ascii="Arial" w:hAnsi="Arial"/>
          <w:b/>
          <w:bCs/>
        </w:rPr>
      </w:pPr>
    </w:p>
    <w:p w:rsidR="0076488E" w:rsidRPr="00DB2267" w:rsidRDefault="0076488E" w:rsidP="00D85B4E">
      <w:pPr>
        <w:pStyle w:val="Standard"/>
        <w:jc w:val="center"/>
        <w:rPr>
          <w:rFonts w:ascii="Arial" w:hAnsi="Arial"/>
          <w:b/>
          <w:bCs/>
        </w:rPr>
      </w:pPr>
    </w:p>
    <w:p w:rsidR="0076488E" w:rsidRPr="00DB2267" w:rsidRDefault="0076488E" w:rsidP="00D85B4E">
      <w:pPr>
        <w:pStyle w:val="Standard"/>
        <w:jc w:val="center"/>
        <w:rPr>
          <w:rFonts w:ascii="Arial" w:hAnsi="Arial"/>
          <w:b/>
          <w:bCs/>
        </w:rPr>
      </w:pPr>
    </w:p>
    <w:p w:rsidR="0076488E" w:rsidRPr="00DB2267" w:rsidRDefault="0076488E" w:rsidP="00D85B4E">
      <w:pPr>
        <w:pStyle w:val="Standard"/>
        <w:jc w:val="center"/>
        <w:rPr>
          <w:rFonts w:ascii="Arial" w:hAnsi="Arial"/>
          <w:b/>
          <w:bCs/>
        </w:rPr>
      </w:pPr>
    </w:p>
    <w:p w:rsidR="0076488E" w:rsidRPr="00DB2267" w:rsidRDefault="0076488E" w:rsidP="00D85B4E">
      <w:pPr>
        <w:pStyle w:val="Standard"/>
        <w:jc w:val="center"/>
        <w:rPr>
          <w:rFonts w:ascii="Arial" w:hAnsi="Arial"/>
          <w:b/>
          <w:bCs/>
        </w:rPr>
      </w:pPr>
    </w:p>
    <w:p w:rsidR="00371C57" w:rsidRPr="00DB2267" w:rsidRDefault="00371C57">
      <w:pPr>
        <w:rPr>
          <w:rFonts w:ascii="Arial" w:eastAsia="SimSun" w:hAnsi="Arial" w:cs="Arial"/>
          <w:b/>
          <w:bCs/>
          <w:kern w:val="3"/>
          <w:sz w:val="24"/>
          <w:szCs w:val="24"/>
          <w:lang w:eastAsia="zh-CN" w:bidi="hi-IN"/>
        </w:rPr>
      </w:pPr>
      <w:r w:rsidRPr="00DB2267">
        <w:rPr>
          <w:rFonts w:ascii="Arial" w:hAnsi="Arial"/>
          <w:b/>
          <w:bCs/>
        </w:rPr>
        <w:br w:type="page"/>
      </w:r>
    </w:p>
    <w:p w:rsidR="0076488E" w:rsidRPr="00DB2267" w:rsidRDefault="0076488E" w:rsidP="00D85B4E">
      <w:pPr>
        <w:pStyle w:val="Standard"/>
        <w:jc w:val="center"/>
        <w:rPr>
          <w:rFonts w:ascii="Arial" w:hAnsi="Arial"/>
          <w:b/>
          <w:bCs/>
        </w:rPr>
      </w:pPr>
    </w:p>
    <w:p w:rsidR="001B5FB3" w:rsidRPr="00DB2267" w:rsidRDefault="00DE7DA9" w:rsidP="001B5FB3">
      <w:pPr>
        <w:pStyle w:val="Standard"/>
        <w:rPr>
          <w:rFonts w:ascii="Arial" w:hAnsi="Arial"/>
          <w:b/>
          <w:bCs/>
        </w:rPr>
      </w:pPr>
      <w:r w:rsidRPr="00DB2267">
        <w:rPr>
          <w:rFonts w:ascii="Arial" w:hAnsi="Arial"/>
          <w:b/>
          <w:bCs/>
        </w:rPr>
        <w:t>I</w:t>
      </w:r>
      <w:r w:rsidR="00706264">
        <w:rPr>
          <w:rFonts w:ascii="Arial" w:hAnsi="Arial"/>
          <w:b/>
          <w:bCs/>
        </w:rPr>
        <w:t>I</w:t>
      </w:r>
      <w:r w:rsidRPr="00DB2267">
        <w:rPr>
          <w:rFonts w:ascii="Arial" w:hAnsi="Arial"/>
          <w:b/>
          <w:bCs/>
        </w:rPr>
        <w:t xml:space="preserve"> – DICIONÁRIO DA ESTRUTURA ANALÍTICA DO PROJETO (EAP)</w:t>
      </w:r>
      <w:r w:rsidR="001B5FB3">
        <w:rPr>
          <w:rFonts w:ascii="Arial" w:hAnsi="Arial"/>
          <w:b/>
          <w:bCs/>
        </w:rPr>
        <w:t xml:space="preserve"> </w:t>
      </w:r>
      <w:r w:rsidR="001B5FB3">
        <w:rPr>
          <w:rFonts w:ascii="Arial" w:hAnsi="Arial"/>
          <w:b/>
          <w:bCs/>
        </w:rPr>
        <w:t>(Processo 5.4 PMBOK)</w:t>
      </w:r>
    </w:p>
    <w:p w:rsidR="0076488E" w:rsidRPr="00DB2267" w:rsidRDefault="0076488E" w:rsidP="001C3C5F">
      <w:pPr>
        <w:pStyle w:val="Standard"/>
        <w:rPr>
          <w:rFonts w:ascii="Arial" w:hAnsi="Arial"/>
          <w:b/>
          <w:bCs/>
        </w:rPr>
      </w:pPr>
    </w:p>
    <w:p w:rsidR="00DE7DA9" w:rsidRPr="00DB2267" w:rsidRDefault="00DE7DA9" w:rsidP="001C3C5F">
      <w:pPr>
        <w:pStyle w:val="Standard"/>
        <w:rPr>
          <w:rFonts w:ascii="Arial" w:hAnsi="Arial"/>
          <w:b/>
          <w:bCs/>
        </w:rPr>
      </w:pPr>
    </w:p>
    <w:p w:rsidR="00DE7DA9" w:rsidRPr="00DB2267" w:rsidRDefault="00DE7DA9" w:rsidP="001C3C5F">
      <w:pPr>
        <w:pStyle w:val="Standard"/>
        <w:rPr>
          <w:rFonts w:ascii="Arial" w:hAnsi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8"/>
        <w:gridCol w:w="2528"/>
        <w:gridCol w:w="6694"/>
        <w:gridCol w:w="3744"/>
      </w:tblGrid>
      <w:tr w:rsidR="00DE7DA9" w:rsidRPr="00DB2267" w:rsidTr="003A7C1F">
        <w:tc>
          <w:tcPr>
            <w:tcW w:w="1028" w:type="dxa"/>
          </w:tcPr>
          <w:p w:rsidR="00DE7DA9" w:rsidRPr="00DB2267" w:rsidRDefault="00833C97" w:rsidP="00DE7DA9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CÓDIGO NA EAP</w:t>
            </w:r>
          </w:p>
        </w:tc>
        <w:tc>
          <w:tcPr>
            <w:tcW w:w="2528" w:type="dxa"/>
          </w:tcPr>
          <w:p w:rsidR="00DE7DA9" w:rsidRPr="00DB2267" w:rsidRDefault="00833C97" w:rsidP="00DE7DA9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PACOTE DE TRABALHO</w:t>
            </w:r>
          </w:p>
        </w:tc>
        <w:tc>
          <w:tcPr>
            <w:tcW w:w="6694" w:type="dxa"/>
          </w:tcPr>
          <w:p w:rsidR="00DE7DA9" w:rsidRPr="00DB2267" w:rsidRDefault="00833C97" w:rsidP="00DE7DA9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ESPECIFICAÇÃO</w:t>
            </w:r>
          </w:p>
        </w:tc>
        <w:tc>
          <w:tcPr>
            <w:tcW w:w="3744" w:type="dxa"/>
          </w:tcPr>
          <w:p w:rsidR="00DE7DA9" w:rsidRPr="00DB2267" w:rsidRDefault="00833C97" w:rsidP="00DE7DA9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CRITÉRIO DE ACEITAÇÃO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GERENCIAMENTO DO PROJETO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Entrega de todas as práticas correlacionadas aos grupos de processo: iniciação, planejamento, execução, monitoramento e controle e encerramento em consonância com o preconizado no PMBOK.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do encerramento do projeto pela Força de Submarinos.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NECESSIDADES E REQUISITOS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Levantamento das necessidades dos Distritos e grupamentos, elaboração do CONOPS com o envelope operacional e definição dos requisitos e critérios de aceitação do ROV.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da Força de Submarinos.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TAF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Execução dos testes realizados na instalação da empresa, verificando a configuração do MVP, a modularidade, a autonomia, o vídeo, o umbilical e os comportamentos de proteção.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nos testes previstos pelas Planilhas de Testes do TAF.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TAM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Acompanhamento da realização dos testes em água doce e salgada do sistema ROV, a partir de terra, verificando a profundidade, a operação por uma pessoa e as tarefas de inspeção e busca visual.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nos testes previstos pelas Planilhas de Testes do TAM.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3.3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DAS PLANILHAS DE TESTES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Consolidação das planilhas do TAF e do TAM, com os procedimentos e os critérios de aprovação de cada teste.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da Força de Submarinos.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3.4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RECEBIMENTO DE SOBRESSALENTES E CONSUMÍVEIS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Recebimento e conferência dos sobressalentes iniciais, consumíveis e ferramentas, com registro do inventário inicial.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Conformidade com a lista de sobressalentes e consumíveis aprovada.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4.1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CURSOS E PILOTO OPERACIONAL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Curso básico de operação e manutenção para operadores e mantenedores e emprego supervisionado do ROV (piloto operacional), com relatório de avaliação.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dos militares na avaliação do curso e do relatório do piloto pela Força de Submarinos.</w:t>
            </w:r>
          </w:p>
        </w:tc>
      </w:tr>
      <w:tr w:rsidR="00DE7DA9" w:rsidRPr="00DB2267" w:rsidTr="003A7C1F">
        <w:tc>
          <w:tcPr>
            <w:tcW w:w="10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w="2528" w:type="dxa"/>
          </w:tcPr>
          <w:p w:rsidR="00DE7DA9" w:rsidRPr="00DB2267" w:rsidRDefault="003A7C1F" w:rsidP="00DE7DA9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DOCUMENTAÇÃO TÉCNICA E GESTÃO DO CONHECIMENTO</w:t>
            </w:r>
          </w:p>
        </w:tc>
        <w:tc>
          <w:tcPr>
            <w:tcW w:w="6694" w:type="dxa"/>
          </w:tcPr>
          <w:p w:rsidR="00DE7DA9" w:rsidRPr="00DB2267" w:rsidRDefault="002313D9" w:rsidP="00DE7780">
            <w:pPr>
              <w:pStyle w:val="Standard"/>
              <w:jc w:val="both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dos manuais de operação, de manutenção e técnico do sistema fornecido, com o plano de manutenção, e disponibilização da documentação às organizações usuárias.</w:t>
            </w:r>
          </w:p>
        </w:tc>
        <w:tc>
          <w:tcPr>
            <w:tcW w:w="3744" w:type="dxa"/>
          </w:tcPr>
          <w:p w:rsidR="00DE7DA9" w:rsidRPr="00DB2267" w:rsidRDefault="002313D9" w:rsidP="002313D9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Aprovação dos manuais pelo setor de Engenharia e Manutenção.</w:t>
            </w:r>
          </w:p>
        </w:tc>
      </w:tr>
    </w:tbl>
    <w:p w:rsidR="00DE7DA9" w:rsidRPr="00DB2267" w:rsidRDefault="00DE7DA9" w:rsidP="00DE7DA9">
      <w:pPr>
        <w:pStyle w:val="Standard"/>
        <w:jc w:val="center"/>
        <w:rPr>
          <w:rFonts w:ascii="Arial" w:hAnsi="Arial"/>
          <w:b/>
          <w:bCs/>
        </w:rPr>
      </w:pPr>
    </w:p>
    <w:p w:rsidR="00706264" w:rsidRDefault="00706264">
      <w:pPr>
        <w:rPr>
          <w:rFonts w:ascii="Arial" w:eastAsia="SimSun" w:hAnsi="Arial" w:cs="Arial"/>
          <w:b/>
          <w:bCs/>
          <w:kern w:val="3"/>
          <w:sz w:val="24"/>
          <w:szCs w:val="24"/>
          <w:lang w:eastAsia="zh-CN" w:bidi="hi-IN"/>
        </w:rPr>
      </w:pPr>
      <w:r>
        <w:rPr>
          <w:rFonts w:ascii="Arial" w:hAnsi="Arial"/>
          <w:b/>
          <w:bCs/>
        </w:rPr>
        <w:br w:type="page"/>
      </w:r>
    </w:p>
    <w:p w:rsidR="001B5FB3" w:rsidRPr="00DB2267" w:rsidRDefault="00706264" w:rsidP="001B5FB3">
      <w:pPr>
        <w:pStyle w:val="Standard"/>
        <w:rPr>
          <w:rFonts w:ascii="Arial" w:hAnsi="Arial"/>
          <w:b/>
          <w:bCs/>
        </w:rPr>
      </w:pPr>
      <w:r w:rsidRPr="00DB2267">
        <w:rPr>
          <w:rFonts w:ascii="Arial" w:hAnsi="Arial"/>
          <w:b/>
          <w:bCs/>
        </w:rPr>
        <w:lastRenderedPageBreak/>
        <w:t>II</w:t>
      </w:r>
      <w:r>
        <w:rPr>
          <w:rFonts w:ascii="Arial" w:hAnsi="Arial"/>
          <w:b/>
          <w:bCs/>
        </w:rPr>
        <w:t>I</w:t>
      </w:r>
      <w:r w:rsidRPr="00DB2267">
        <w:rPr>
          <w:rFonts w:ascii="Arial" w:hAnsi="Arial"/>
          <w:b/>
          <w:bCs/>
        </w:rPr>
        <w:t xml:space="preserve"> – MATRIZ DE</w:t>
      </w:r>
      <w:r w:rsidR="001B5FB3">
        <w:rPr>
          <w:rFonts w:ascii="Arial" w:hAnsi="Arial"/>
          <w:b/>
          <w:bCs/>
        </w:rPr>
        <w:t xml:space="preserve"> RASTREABILIDADE DE</w:t>
      </w:r>
      <w:r w:rsidRPr="00DB2267">
        <w:rPr>
          <w:rFonts w:ascii="Arial" w:hAnsi="Arial"/>
          <w:b/>
          <w:bCs/>
        </w:rPr>
        <w:t xml:space="preserve"> REQUISITOS</w:t>
      </w:r>
      <w:r w:rsidR="001B5FB3">
        <w:rPr>
          <w:rFonts w:ascii="Arial" w:hAnsi="Arial"/>
          <w:b/>
          <w:bCs/>
        </w:rPr>
        <w:t xml:space="preserve"> </w:t>
      </w:r>
      <w:r w:rsidR="001B5FB3">
        <w:rPr>
          <w:rFonts w:ascii="Arial" w:hAnsi="Arial"/>
          <w:b/>
          <w:bCs/>
        </w:rPr>
        <w:t>(Processo 5.</w:t>
      </w:r>
      <w:r w:rsidR="001B5FB3">
        <w:rPr>
          <w:rFonts w:ascii="Arial" w:hAnsi="Arial"/>
          <w:b/>
          <w:bCs/>
        </w:rPr>
        <w:t>2</w:t>
      </w:r>
      <w:r w:rsidR="001B5FB3">
        <w:rPr>
          <w:rFonts w:ascii="Arial" w:hAnsi="Arial"/>
          <w:b/>
          <w:bCs/>
        </w:rPr>
        <w:t xml:space="preserve"> PMBOK)</w:t>
      </w:r>
    </w:p>
    <w:p w:rsidR="00706264" w:rsidRDefault="00706264" w:rsidP="00706264">
      <w:pPr>
        <w:pStyle w:val="Standard"/>
        <w:rPr>
          <w:rFonts w:ascii="Arial" w:hAnsi="Arial"/>
          <w:b/>
          <w:bCs/>
        </w:rPr>
      </w:pPr>
    </w:p>
    <w:p w:rsidR="0086061E" w:rsidRDefault="0086061E" w:rsidP="00706264">
      <w:pPr>
        <w:pStyle w:val="Standard"/>
        <w:rPr>
          <w:rFonts w:ascii="Arial" w:hAnsi="Arial"/>
          <w:b/>
          <w:bCs/>
        </w:rPr>
      </w:pPr>
    </w:p>
    <w:tbl>
      <w:tblPr>
        <w:tblStyle w:val="Tabelacomgrade"/>
        <w:tblW w:w="14454" w:type="dxa"/>
        <w:tblLayout w:type="fixed"/>
        <w:tblLook w:val="04A0" w:firstRow="1" w:lastRow="0" w:firstColumn="1" w:lastColumn="0" w:noHBand="0" w:noVBand="1"/>
      </w:tblPr>
      <w:tblGrid>
        <w:gridCol w:w="1129"/>
        <w:gridCol w:w="6521"/>
        <w:gridCol w:w="1984"/>
        <w:gridCol w:w="1560"/>
        <w:gridCol w:w="2268"/>
        <w:gridCol w:w="992"/>
      </w:tblGrid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CÓDIGO EAP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STAKEHOLDER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TIPO DO REQUISITO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STATUS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encerramento do projeto deve ser aprovado pela Força de Submarinos, com as lições aprendidas registradas.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Força de Submarinos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projeto deve emitir recomendação para a integração de módulos futuros (sonar e garra/manipulador).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Áreas de Ciência, Tecnologia e Inovação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CONOPS deve consolidar as necessidades dos Distritos e grupamentos e definir o envelope operacional.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possuir arquitetura modular, permitindo a instalação ou substituição de aparatos e acessórios.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Áreas de Ciência, Tecnologia e Inovação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possuir autonomia mínima de 2h30.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umbilical deve possuir alcance mínimo de 50 m, com mecanismo de recuperação e gestão dinâmica.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Militares Especializados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gravar imagens e vídeos em 1080p a 30 fps.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gravar vídeos em 4K a 15 fps.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possuir comportamentos de proteção em caso de impacto, perda de comunicação ou carga anormal no umbilical.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Engenharia e Manutenção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ser operável por uma única pessoa treinada, a partir de terra.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Militares Especializados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operar em água doce e salgada.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operar na profundidade nominal de 10 m.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atingir a profundidade máxima de 30 m.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Força de Submarinos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permitir a inspeção visual de ferro, casco, hélice e estruturas submersas.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ROV deve permitir a localização visual de objetos no fundo ou leito.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Mergulhadores e Especialistas SAR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3.3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Os testes de bancada e de campo devem possuir critérios de aceitação previamente aprovados.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Força de Submarinos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3.4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Os sobressalentes iniciais e consumíveis devem ser recebidos conforme a lista aprovada.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Logística e Cadeia de Suprimento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Os operadores e mantenedores devem ser capacitados no curso básico do sistema.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Militares Especializados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piloto operacional deve ser avaliado e aprovado pela Força de Submarinos.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Força de Submarinos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4.1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piloto operacional deve avaliar a redução da exposição humana em reconhecimentos preliminares.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Mergulhadores e Especialistas SAR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Os manuais de operação, de manutenção e técnico devem ser aprovados, contemplando os procedimentos de lançamento, gestão do fio, recuperação, lavagem e dessalinização.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Engenharia e Manutenção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O plano de manutenção deve prever apoio por 5 anos, compatível com a vida útil de 10 anos.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Logística e Cadeia de Suprimento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372F9F" w:rsidRPr="00DB2267" w:rsidTr="00372F9F">
        <w:tc>
          <w:tcPr>
            <w:tcW w:w="1129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w="6521" w:type="dxa"/>
          </w:tcPr>
          <w:p w:rsidR="00372F9F" w:rsidRPr="00DB2267" w:rsidRDefault="00372F9F" w:rsidP="00372F9F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A documentação técnica deve ser disponibilizada às organizações usuárias.</w:t>
            </w:r>
          </w:p>
        </w:tc>
        <w:tc>
          <w:tcPr>
            <w:tcW w:w="1984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Distritos e Grupamentos</w:t>
            </w:r>
          </w:p>
        </w:tc>
        <w:tc>
          <w:tcPr>
            <w:tcW w:w="1560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2268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NÃO FUNCIONAL</w:t>
            </w:r>
          </w:p>
        </w:tc>
        <w:tc>
          <w:tcPr>
            <w:tcW w:w="992" w:type="dxa"/>
          </w:tcPr>
          <w:p w:rsidR="00372F9F" w:rsidRPr="00DB2267" w:rsidRDefault="00372F9F" w:rsidP="00372F9F">
            <w:pPr>
              <w:pStyle w:val="Standard"/>
              <w:jc w:val="center"/>
              <w:rPr>
                <w:rFonts w:ascii="Arial" w:hAnsi="Arial"/>
                <w:bCs/>
                <w:sz w:val="20"/>
                <w:szCs w:val="20"/>
              </w:rPr>
            </w:pPr>
            <w:r>
              <w:rPr>
                <w:rFonts w:ascii="Arial" w:hAnsi="Arial"/>
                <w:bCs/>
                <w:sz w:val="20"/>
                <w:szCs w:val="20"/>
              </w:rPr>
              <w:t xml:space="preserve">NI</w:t>
            </w:r>
          </w:p>
        </w:tc>
      </w:tr>
      <w:tr w:rsidR="005730FE" w:rsidRPr="00DB2267" w:rsidTr="00692592">
        <w:tc>
          <w:tcPr>
            <w:tcW w:w="14454" w:type="dxa"/>
            <w:gridSpan w:val="6"/>
          </w:tcPr>
          <w:p w:rsidR="005730FE" w:rsidRPr="00DB2267" w:rsidRDefault="005730FE" w:rsidP="005730FE">
            <w:pPr>
              <w:pStyle w:val="Standard"/>
              <w:rPr>
                <w:rFonts w:ascii="Arial" w:hAnsi="Arial"/>
                <w:bCs/>
                <w:sz w:val="20"/>
                <w:szCs w:val="20"/>
              </w:rPr>
            </w:pP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lastRenderedPageBreak/>
              <w:t>LEGENDA: PRIORIDADE 1</w:t>
            </w:r>
            <w:r w:rsidRPr="00DB2267">
              <w:rPr>
                <w:rFonts w:ascii="Arial" w:hAnsi="Arial"/>
                <w:bCs/>
                <w:sz w:val="20"/>
                <w:szCs w:val="20"/>
              </w:rPr>
              <w:t xml:space="preserve">: IMPRESCINDÍVEL♦♦♦♦ </w:t>
            </w: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PRIORIDADE 2:</w:t>
            </w:r>
            <w:r w:rsidRPr="00DB2267">
              <w:rPr>
                <w:rFonts w:ascii="Arial" w:hAnsi="Arial"/>
                <w:bCs/>
                <w:sz w:val="20"/>
                <w:szCs w:val="20"/>
              </w:rPr>
              <w:t xml:space="preserve"> DESEJÁVEL♦♦♦♦ </w:t>
            </w: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PRIORIDADE 3:</w:t>
            </w:r>
            <w:r w:rsidRPr="00DB2267">
              <w:rPr>
                <w:rFonts w:ascii="Arial" w:hAnsi="Arial"/>
                <w:bCs/>
                <w:sz w:val="20"/>
                <w:szCs w:val="20"/>
              </w:rPr>
              <w:t xml:space="preserve"> OPCIONAL ♦♦♦♦</w:t>
            </w:r>
            <w:r w:rsidRPr="00DB2267">
              <w:rPr>
                <w:rFonts w:ascii="Arial" w:hAnsi="Arial"/>
                <w:b/>
                <w:bCs/>
                <w:sz w:val="20"/>
                <w:szCs w:val="20"/>
              </w:rPr>
              <w:t>STATUS NI:</w:t>
            </w:r>
            <w:r w:rsidRPr="00DB2267">
              <w:rPr>
                <w:rFonts w:ascii="Arial" w:hAnsi="Arial"/>
                <w:bCs/>
                <w:sz w:val="20"/>
                <w:szCs w:val="20"/>
              </w:rPr>
              <w:t xml:space="preserve"> NÃO INICIADA</w:t>
            </w:r>
          </w:p>
        </w:tc>
      </w:tr>
    </w:tbl>
    <w:p w:rsidR="0086061E" w:rsidRPr="00DB2267" w:rsidRDefault="0086061E" w:rsidP="00706264">
      <w:pPr>
        <w:pStyle w:val="Standard"/>
        <w:rPr>
          <w:rFonts w:ascii="Arial" w:hAnsi="Arial"/>
          <w:b/>
          <w:bCs/>
        </w:rPr>
      </w:pPr>
    </w:p>
    <w:p w:rsidR="00706264" w:rsidRPr="00DB2267" w:rsidRDefault="00706264" w:rsidP="00706264">
      <w:pPr>
        <w:pStyle w:val="Standard"/>
        <w:rPr>
          <w:rFonts w:ascii="Arial" w:hAnsi="Arial"/>
          <w:b/>
          <w:bCs/>
        </w:rPr>
      </w:pPr>
    </w:p>
    <w:p w:rsidR="001B5FB3" w:rsidRPr="00DB2267" w:rsidRDefault="00706264" w:rsidP="001B5FB3">
      <w:pPr>
        <w:pStyle w:val="Standard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IV</w:t>
      </w:r>
      <w:r w:rsidR="007125E1" w:rsidRPr="00DB2267">
        <w:rPr>
          <w:rFonts w:ascii="Arial" w:hAnsi="Arial"/>
          <w:b/>
          <w:bCs/>
        </w:rPr>
        <w:t xml:space="preserve"> – MATRIZ DE QUALIDADE</w:t>
      </w:r>
      <w:r w:rsidR="001B5FB3">
        <w:rPr>
          <w:rFonts w:ascii="Arial" w:hAnsi="Arial"/>
          <w:b/>
          <w:bCs/>
        </w:rPr>
        <w:t xml:space="preserve"> </w:t>
      </w:r>
      <w:r w:rsidR="001B5FB3">
        <w:rPr>
          <w:rFonts w:ascii="Arial" w:hAnsi="Arial"/>
          <w:b/>
          <w:bCs/>
        </w:rPr>
        <w:t xml:space="preserve">(Processo </w:t>
      </w:r>
      <w:r w:rsidR="001B5FB3">
        <w:rPr>
          <w:rFonts w:ascii="Arial" w:hAnsi="Arial"/>
          <w:b/>
          <w:bCs/>
        </w:rPr>
        <w:t>8.1</w:t>
      </w:r>
      <w:bookmarkStart w:id="0" w:name="_GoBack"/>
      <w:bookmarkEnd w:id="0"/>
      <w:r w:rsidR="001B5FB3">
        <w:rPr>
          <w:rFonts w:ascii="Arial" w:hAnsi="Arial"/>
          <w:b/>
          <w:bCs/>
        </w:rPr>
        <w:t xml:space="preserve"> PMBOK)</w:t>
      </w:r>
    </w:p>
    <w:p w:rsidR="007125E1" w:rsidRPr="00DB2267" w:rsidRDefault="007125E1" w:rsidP="001C3C5F">
      <w:pPr>
        <w:pStyle w:val="Standard"/>
        <w:rPr>
          <w:rFonts w:ascii="Arial" w:hAnsi="Arial"/>
          <w:b/>
          <w:bCs/>
        </w:rPr>
      </w:pPr>
    </w:p>
    <w:p w:rsidR="00DE7DA9" w:rsidRPr="00DB2267" w:rsidRDefault="00DE7DA9" w:rsidP="001C3C5F">
      <w:pPr>
        <w:pStyle w:val="Standard"/>
        <w:rPr>
          <w:rFonts w:ascii="Arial" w:hAnsi="Arial"/>
          <w:b/>
          <w:bCs/>
        </w:rPr>
      </w:pPr>
    </w:p>
    <w:tbl>
      <w:tblPr>
        <w:tblStyle w:val="Tabelacomgrade"/>
        <w:tblW w:w="16297" w:type="dxa"/>
        <w:tblInd w:w="-1069" w:type="dxa"/>
        <w:tblLook w:val="04A0" w:firstRow="1" w:lastRow="0" w:firstColumn="1" w:lastColumn="0" w:noHBand="0" w:noVBand="1"/>
      </w:tblPr>
      <w:tblGrid>
        <w:gridCol w:w="2434"/>
        <w:gridCol w:w="1576"/>
        <w:gridCol w:w="1044"/>
        <w:gridCol w:w="1961"/>
        <w:gridCol w:w="1803"/>
        <w:gridCol w:w="1352"/>
        <w:gridCol w:w="2564"/>
        <w:gridCol w:w="1533"/>
        <w:gridCol w:w="2030"/>
      </w:tblGrid>
      <w:tr w:rsidR="0059619C" w:rsidRPr="00DB2267" w:rsidTr="003A65A7">
        <w:trPr>
          <w:tblHeader/>
        </w:trPr>
        <w:tc>
          <w:tcPr>
            <w:tcW w:w="24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10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19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1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</w:p>
        </w:tc>
        <w:tc>
          <w:tcPr>
            <w:tcW w:w="6127" w:type="dxa"/>
            <w:gridSpan w:val="3"/>
            <w:tcBorders>
              <w:left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PLANO DE RESPOSTA</w:t>
            </w:r>
          </w:p>
        </w:tc>
      </w:tr>
      <w:tr w:rsidR="0059619C" w:rsidRPr="00DB2267" w:rsidTr="003A65A7">
        <w:trPr>
          <w:tblHeader/>
        </w:trPr>
        <w:tc>
          <w:tcPr>
            <w:tcW w:w="2434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REQUISITO</w:t>
            </w:r>
          </w:p>
        </w:tc>
        <w:tc>
          <w:tcPr>
            <w:tcW w:w="1576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INDICADOR</w:t>
            </w:r>
          </w:p>
        </w:tc>
        <w:tc>
          <w:tcPr>
            <w:tcW w:w="1044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META</w:t>
            </w:r>
          </w:p>
        </w:tc>
        <w:tc>
          <w:tcPr>
            <w:tcW w:w="1961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TÉCNICA DE MEDIÇÃO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FREQUÊNCIA</w:t>
            </w:r>
          </w:p>
        </w:tc>
        <w:tc>
          <w:tcPr>
            <w:tcW w:w="1352" w:type="dxa"/>
            <w:tcBorders>
              <w:top w:val="single" w:sz="4" w:space="0" w:color="auto"/>
            </w:tcBorders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QUEM MEDE</w:t>
            </w:r>
          </w:p>
        </w:tc>
        <w:tc>
          <w:tcPr>
            <w:tcW w:w="2564" w:type="dxa"/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AÇÃO</w:t>
            </w:r>
          </w:p>
        </w:tc>
        <w:tc>
          <w:tcPr>
            <w:tcW w:w="1533" w:type="dxa"/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QUANDO</w:t>
            </w:r>
          </w:p>
        </w:tc>
        <w:tc>
          <w:tcPr>
            <w:tcW w:w="2030" w:type="dxa"/>
          </w:tcPr>
          <w:p w:rsidR="00012EE4" w:rsidRPr="00DB2267" w:rsidRDefault="00012EE4" w:rsidP="00012EE4">
            <w:pPr>
              <w:pStyle w:val="Standard"/>
              <w:jc w:val="center"/>
              <w:rPr>
                <w:rFonts w:ascii="Arial" w:hAnsi="Arial"/>
                <w:b/>
                <w:bCs/>
              </w:rPr>
            </w:pPr>
            <w:r w:rsidRPr="00DB2267">
              <w:rPr>
                <w:rFonts w:ascii="Arial" w:hAnsi="Arial"/>
                <w:b/>
                <w:bCs/>
              </w:rPr>
              <w:t>RESPONSÁVEL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1 - O encerramento do projeto deve ser aprovado pela Força de Submarinos, com as lições aprendidas registradas.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Aprovação do encerramento.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Aprovado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Verificação do Termo de Encerramento e do Relatório de Lições Aprendidas.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Ao final do projeto (Código EAP 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Saneamento das pendências apontadas;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Nova submissão à Força de Submarinos.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Encerramento não aprovado.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1 - O projeto deve emitir recomendação para a integração de módulos futuros (sonar e garra/manipulador).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Recomendação emitida.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01 relatório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Verificação do Relatório Final do Projeto.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No encerramento do projeto (Código EAP 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Complementação do Relatório Final.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Relatório Final sem recomendação de módulos futuros.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2 - O CONOPS deve consolidar as necessidades dos Distritos e grupamentos e definir o envelope operacional.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Aprovação do CONOPS.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T0 + 3 meses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Análise do CONOPS frente às necessidades levantadas junto aos usuários.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 cada revisão do CONOPS (Código EAP 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Distritos e Grupamentos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Revisão do CONOPS com os usuários;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Nova submissão à Força de Submarinos.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CONOPS não aprovado ou necessidade não atendida.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ROV deve possuir arquitetura modular, permitindo a instalação ou substituição de aparatos e acessórios.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Instalação e substituição de aparatos.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das interfaces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Ensaio de montagem e desmontagem de aparatos nas interfaces do núcleo.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Correção da interface pela empresa;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Interface não permitir a instalação ou substituição.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ROV deve possuir autonomia mínima de 2h30.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Tempo de operação contínua.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≥ 2h30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Operação contínua em condição nominal, com cronometragem.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Correção do sistema de energia pela empresa;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Autonomia inferior a 2h30.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umbilical deve possuir alcance mínimo de 50 m, com mecanismo de recuperação e gestão dinâmica.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Alcance útil do umbilical.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≥ 50 m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Medição do comprimento útil e ensaio de lançamento e recolhimento pelo mecanismo.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Substituição ou ajuste do umbilical pela empresa;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Alcance inferior a 50 m ou falha no recolhimento.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ROV deve gravar imagens e vídeos em 1080p a 30 fps.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Resolução e taxa de quadros.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1080p a 30 fps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Gravação de vídeo de teste e verificação das propriedades do arquivo.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Ajuste da configuração da câmera;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Gravação abaixo de 1080p ou de 30 fps.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ROV deve gravar vídeos em 4K a 15 fps.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Resolução e taxa de quadros.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4K a 15 fps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Gravação de vídeo de teste e verificação das propriedades do arquivo.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Ajuste da configuração da câmera.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Gravação abaixo de 4K ou de 15 fps.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3.1 - O ROV deve possuir comportamentos de proteção em caso de impacto, perda de comunicação ou carga anormal no umbilical.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Acionamento da proteção.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das condições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Simulação em bancada de impacto, perda de comunicação e carga anormal no umbilical.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TAF (Código EAP 3.1).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Correção do sistema pela empresa;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Proteção não acionada em qualquer condição simulada.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ser operável por uma única pessoa treinada, a partir de terra.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Número de operadores.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01 operador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Observação da preparação, lançamento, operação e recuperação a partir do cais ou margem.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 cada sessão do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Revisão dos procedimentos de operação;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da sessão.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Necessidade de mais de um operador.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operar em água doce e salgada.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Testes aprovados em cada tipo de água.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em cada meio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Verificação das planilhas do TAM executadas em cada meio.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Reprogramação da área de teste;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teste.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Teste reprovado ou não realizado em um dos meios.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operar na profundidade nominal de 10 m.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Profundidade atingida com operação estável.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 m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Mergulho do ROV com registro do sensor de profundidade.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Correção do sistema pela empresa;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do ensaio.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Profundidade inferior a 10 m ou operação instável.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atingir a profundidade máxima de 30 m.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Profundidade máxima atingida.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30 m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Mergulho do ROV em área com 30 m, com registro do sensor de profundidade.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Equipe de Testes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Submissão de evidência técnica à aceitação da Força de Submarinos.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Profundidade de 30 m não demonstrada.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permitir a inspeção visual de ferro, casco, hélice e estruturas submersas.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Alvos inspecionados com imagem útil.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dos alvos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Inspeção de ferro, casco, hélice e estrutura submersa, com avaliação das imagens pelos usuários.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Distritos e Grupamentos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Ajuste da iluminação e da câmera;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da inspeção.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Imagem de alvo não aceita pelos usuários.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3.2 - O ROV deve permitir a localização visual de objetos no fundo ou leito.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Objetos localizados.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dos objetos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Busca de objetos-alvo posicionados no fundo da área de teste.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Durante o TAM (Código EAP 3.2).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Mergulhadores e Especialistas SAR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Revisão do procedimento de busca;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Repetição da busca.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Objeto-alvo não localizado.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3.3 - Os testes de bancada e de campo devem possuir critérios de aceitação previamente aprovados.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Planilhas aprovadas antes do teste.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Verificação da aprovação das planilhas do TAF e do TAM.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Antes de cada bateria de testes (Código EAP 3.3).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Suspensão da bateria de testes;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Revisão e nova submissão da planilha.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Planilha sem aprovação ou sem critério de aceitação.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3.4 - Os sobressalentes iniciais e consumíveis devem ser recebidos conforme a lista aprovada.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Itens recebidos conforme a lista.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Conferência física dos itens com a lista aprovada.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 cada remessa recebida (Código EAP 3.4).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Logística e Cadeia de Suprimento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Solicitação de complementação ou substituição à empresa.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Item faltante, divergente ou avariado.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Logística e Cadeia de Suprimento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4.1 - Os operadores e mantenedores devem ser capacitados no curso básico do sistema.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Militares aprovados na avaliação.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dos designados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Avaliação teórica e prática ao final do curso.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Ao final de cada turma (Código EAP 4.1).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Reforço de instrução e nova avaliação.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Militar reprovado na avaliação.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4.1 - O piloto operacional deve ser avaliado e aprovado pela Força de Submarinos.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Aprovação do relatório do piloto.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Aprovado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Análise do relatório de avaliação do piloto.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Ao término do piloto (Código EAP 4.1).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Força de Submarinos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Complementação do piloto ou do relatório;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Nova submissão.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Relatório não aprovado.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4.1 - O piloto operacional deve avaliar a redução da exposição humana em reconhecimentos preliminares.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Reconhecimentos preliminares realizados pelo ROV antes do mergulho.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 das missões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Registro das missões do piloto e avaliação pelos mergulhadores.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 cada missão do piloto (Código EAP 4.1).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Mergulhadores e Especialistas SAR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Complementação dos registros.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Missão sem registro.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4.2 - Os manuais de operação, de manutenção e técnico devem ser aprovados, contemplando os procedimentos de lançamento, gestão do fio, recuperação, lavagem e dessalinização.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Manuais aprovados.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03 manuais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Revisão técnica dos manuais, incluindo os procedimentos exigidos.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Na entrega de cada manual (Código EAP 4.2).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Devolução do manual à empresa para correção; e</w:t>
            </w:r>
          </w:p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2: Nova revisão.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Manual reprovado ou procedimento ausente.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4.2 - O plano de manutenção deve prever apoio por 5 anos, compatível com a vida útil de 10 anos.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Período de apoio previsto.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5 anos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Análise do plano de manutenção.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Na entrega do plano (Código EAP 4.2).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Logística e Cadeia de Suprimento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Revisão do plano de manutenção.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Apoio inferior a 5 anos ou incompatível com a vida útil de 10 anos.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Engenharia e Manutenção</w:t>
            </w:r>
          </w:p>
        </w:tc>
      </w:tr>
      <w:tr w:rsidR="0059619C" w:rsidRPr="00DB2267" w:rsidTr="003A65A7">
        <w:tc>
          <w:tcPr>
            <w:tcW w:w="2434" w:type="dxa"/>
          </w:tcPr>
          <w:p w:rsidR="00012EE4" w:rsidRPr="00DB2267" w:rsidRDefault="00284329" w:rsidP="00E62C48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4.2 - A documentação técnica deve ser disponibilizada às organizações usuárias.</w:t>
            </w:r>
          </w:p>
        </w:tc>
        <w:tc>
          <w:tcPr>
            <w:tcW w:w="1576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Organizações usuárias com acesso à documentação.</w:t>
            </w:r>
          </w:p>
        </w:tc>
        <w:tc>
          <w:tcPr>
            <w:tcW w:w="1044" w:type="dxa"/>
          </w:tcPr>
          <w:p w:rsidR="003802D3" w:rsidRPr="00DB2267" w:rsidRDefault="003802D3" w:rsidP="00E62C48">
            <w:pPr>
              <w:pStyle w:val="Standard"/>
              <w:jc w:val="center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100%</w:t>
            </w:r>
          </w:p>
        </w:tc>
        <w:tc>
          <w:tcPr>
            <w:tcW w:w="1961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Verificação dos registros de distribuição.</w:t>
            </w:r>
          </w:p>
        </w:tc>
        <w:tc>
          <w:tcPr>
            <w:tcW w:w="1803" w:type="dxa"/>
          </w:tcPr>
          <w:p w:rsidR="00012EE4" w:rsidRPr="00DB2267" w:rsidRDefault="003802D3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No encerramento do projeto (Código EAP 4.2).</w:t>
            </w:r>
          </w:p>
        </w:tc>
        <w:tc>
          <w:tcPr>
            <w:tcW w:w="1352" w:type="dxa"/>
          </w:tcPr>
          <w:p w:rsidR="00012EE4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  <w:tc>
          <w:tcPr>
            <w:tcW w:w="2564" w:type="dxa"/>
          </w:tcPr>
          <w:p w:rsidR="008A7A2E" w:rsidRPr="00DB2267" w:rsidRDefault="00553D92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Ação 1: Complementação da distribuição.</w:t>
            </w:r>
          </w:p>
        </w:tc>
        <w:tc>
          <w:tcPr>
            <w:tcW w:w="1533" w:type="dxa"/>
          </w:tcPr>
          <w:p w:rsidR="00012EE4" w:rsidRPr="00DB2267" w:rsidRDefault="008A7A2E" w:rsidP="003802D3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Organização usuária sem acesso.</w:t>
            </w:r>
          </w:p>
        </w:tc>
        <w:tc>
          <w:tcPr>
            <w:tcW w:w="2030" w:type="dxa"/>
          </w:tcPr>
          <w:p w:rsidR="00012EE4" w:rsidRPr="00DB2267" w:rsidRDefault="008A7A2E" w:rsidP="00E044F4">
            <w:pPr>
              <w:pStyle w:val="Standard"/>
              <w:rPr>
                <w:rFonts w:ascii="Arial" w:hAnsi="Arial"/>
                <w:bCs/>
                <w:sz w:val="16"/>
                <w:szCs w:val="16"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Gerente do Projeto</w:t>
            </w:r>
          </w:p>
        </w:tc>
      </w:tr>
    </w:tbl>
    <w:p w:rsidR="00012EE4" w:rsidRPr="00DB2267" w:rsidRDefault="00012EE4" w:rsidP="00205E0A">
      <w:pPr>
        <w:pStyle w:val="Standard"/>
        <w:jc w:val="center"/>
        <w:rPr>
          <w:rFonts w:ascii="Arial" w:hAnsi="Arial"/>
          <w:b/>
          <w:bCs/>
        </w:rPr>
      </w:pPr>
    </w:p>
    <w:sectPr w:rsidR="00012EE4" w:rsidRPr="00DB2267" w:rsidSect="003A3FBC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6F52" w:rsidRDefault="00076F52" w:rsidP="00E200FE">
      <w:pPr>
        <w:spacing w:after="0" w:line="240" w:lineRule="auto"/>
      </w:pPr>
      <w:r>
        <w:separator/>
      </w:r>
    </w:p>
  </w:endnote>
  <w:endnote w:type="continuationSeparator" w:id="0">
    <w:p w:rsidR="00076F52" w:rsidRDefault="00076F52" w:rsidP="00E200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6F52" w:rsidRDefault="00076F52" w:rsidP="00E200FE">
      <w:pPr>
        <w:spacing w:after="0" w:line="240" w:lineRule="auto"/>
      </w:pPr>
      <w:r>
        <w:separator/>
      </w:r>
    </w:p>
  </w:footnote>
  <w:footnote w:type="continuationSeparator" w:id="0">
    <w:p w:rsidR="00076F52" w:rsidRDefault="00076F52" w:rsidP="00E200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4A0291"/>
    <w:multiLevelType w:val="hybridMultilevel"/>
    <w:tmpl w:val="30FCAC2A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FBC"/>
    <w:rsid w:val="000106A9"/>
    <w:rsid w:val="00012A0F"/>
    <w:rsid w:val="00012EE4"/>
    <w:rsid w:val="00030EAF"/>
    <w:rsid w:val="0003311D"/>
    <w:rsid w:val="000415F3"/>
    <w:rsid w:val="00046B66"/>
    <w:rsid w:val="00054B08"/>
    <w:rsid w:val="00076F52"/>
    <w:rsid w:val="00094168"/>
    <w:rsid w:val="000964B9"/>
    <w:rsid w:val="000B0A3D"/>
    <w:rsid w:val="000C1BB5"/>
    <w:rsid w:val="000C4BD6"/>
    <w:rsid w:val="000C70F1"/>
    <w:rsid w:val="000E1C9C"/>
    <w:rsid w:val="000F2103"/>
    <w:rsid w:val="000F4938"/>
    <w:rsid w:val="000F669D"/>
    <w:rsid w:val="000F7955"/>
    <w:rsid w:val="00104230"/>
    <w:rsid w:val="00121EF0"/>
    <w:rsid w:val="001321BF"/>
    <w:rsid w:val="00153515"/>
    <w:rsid w:val="001561B6"/>
    <w:rsid w:val="00157EEF"/>
    <w:rsid w:val="00175AA6"/>
    <w:rsid w:val="00186570"/>
    <w:rsid w:val="00196C65"/>
    <w:rsid w:val="001A5376"/>
    <w:rsid w:val="001B5FB3"/>
    <w:rsid w:val="001B7B7C"/>
    <w:rsid w:val="001C3C5F"/>
    <w:rsid w:val="001C4A20"/>
    <w:rsid w:val="001D2657"/>
    <w:rsid w:val="001F7C72"/>
    <w:rsid w:val="00205E0A"/>
    <w:rsid w:val="00216120"/>
    <w:rsid w:val="002313D9"/>
    <w:rsid w:val="0023307C"/>
    <w:rsid w:val="00234C98"/>
    <w:rsid w:val="00240B51"/>
    <w:rsid w:val="0026368A"/>
    <w:rsid w:val="00284329"/>
    <w:rsid w:val="002D2F4A"/>
    <w:rsid w:val="002E7B67"/>
    <w:rsid w:val="002F12CE"/>
    <w:rsid w:val="003062FD"/>
    <w:rsid w:val="0031517F"/>
    <w:rsid w:val="003311EE"/>
    <w:rsid w:val="00354CFD"/>
    <w:rsid w:val="0036585D"/>
    <w:rsid w:val="003661B4"/>
    <w:rsid w:val="00371C57"/>
    <w:rsid w:val="00372F9F"/>
    <w:rsid w:val="00374282"/>
    <w:rsid w:val="003750EF"/>
    <w:rsid w:val="003802D3"/>
    <w:rsid w:val="00396B41"/>
    <w:rsid w:val="003A3FBC"/>
    <w:rsid w:val="003A5263"/>
    <w:rsid w:val="003A65A7"/>
    <w:rsid w:val="003A7C1F"/>
    <w:rsid w:val="003A7FEB"/>
    <w:rsid w:val="003D0A1D"/>
    <w:rsid w:val="003E4F70"/>
    <w:rsid w:val="0041382E"/>
    <w:rsid w:val="0042446B"/>
    <w:rsid w:val="00424DCC"/>
    <w:rsid w:val="00457716"/>
    <w:rsid w:val="00470302"/>
    <w:rsid w:val="0049298E"/>
    <w:rsid w:val="00494034"/>
    <w:rsid w:val="004B489B"/>
    <w:rsid w:val="004B5721"/>
    <w:rsid w:val="004D36DD"/>
    <w:rsid w:val="004E51D5"/>
    <w:rsid w:val="0054136F"/>
    <w:rsid w:val="00541AD7"/>
    <w:rsid w:val="00553D92"/>
    <w:rsid w:val="005730FE"/>
    <w:rsid w:val="005737AC"/>
    <w:rsid w:val="00576398"/>
    <w:rsid w:val="0058134A"/>
    <w:rsid w:val="0059619C"/>
    <w:rsid w:val="005A5CFD"/>
    <w:rsid w:val="005B28B7"/>
    <w:rsid w:val="005B4AD0"/>
    <w:rsid w:val="005F36EE"/>
    <w:rsid w:val="00606C80"/>
    <w:rsid w:val="00622830"/>
    <w:rsid w:val="00623760"/>
    <w:rsid w:val="00632471"/>
    <w:rsid w:val="006734E6"/>
    <w:rsid w:val="00682359"/>
    <w:rsid w:val="006B24C3"/>
    <w:rsid w:val="006E3361"/>
    <w:rsid w:val="006E356B"/>
    <w:rsid w:val="006E570E"/>
    <w:rsid w:val="00706264"/>
    <w:rsid w:val="00707345"/>
    <w:rsid w:val="007125E1"/>
    <w:rsid w:val="00735CDA"/>
    <w:rsid w:val="00740681"/>
    <w:rsid w:val="00750A26"/>
    <w:rsid w:val="00761773"/>
    <w:rsid w:val="0076488E"/>
    <w:rsid w:val="0076714D"/>
    <w:rsid w:val="00795B4A"/>
    <w:rsid w:val="007B0957"/>
    <w:rsid w:val="007B1557"/>
    <w:rsid w:val="007B76EB"/>
    <w:rsid w:val="007E7273"/>
    <w:rsid w:val="007F5360"/>
    <w:rsid w:val="00810E43"/>
    <w:rsid w:val="008244C7"/>
    <w:rsid w:val="00833C97"/>
    <w:rsid w:val="0086061E"/>
    <w:rsid w:val="00880701"/>
    <w:rsid w:val="00893B2C"/>
    <w:rsid w:val="008A7A2E"/>
    <w:rsid w:val="008E3BB4"/>
    <w:rsid w:val="008F1105"/>
    <w:rsid w:val="008F59EA"/>
    <w:rsid w:val="009137D3"/>
    <w:rsid w:val="00914B98"/>
    <w:rsid w:val="00956D13"/>
    <w:rsid w:val="00976A0C"/>
    <w:rsid w:val="009864F8"/>
    <w:rsid w:val="00996330"/>
    <w:rsid w:val="00997DDA"/>
    <w:rsid w:val="009D30FA"/>
    <w:rsid w:val="009E5008"/>
    <w:rsid w:val="009E5197"/>
    <w:rsid w:val="009F40D5"/>
    <w:rsid w:val="00A11B3F"/>
    <w:rsid w:val="00A13A4E"/>
    <w:rsid w:val="00A14B09"/>
    <w:rsid w:val="00A31E6C"/>
    <w:rsid w:val="00A34DBF"/>
    <w:rsid w:val="00A966DD"/>
    <w:rsid w:val="00AC7D17"/>
    <w:rsid w:val="00AE704F"/>
    <w:rsid w:val="00AF1E79"/>
    <w:rsid w:val="00AF267E"/>
    <w:rsid w:val="00B34AB2"/>
    <w:rsid w:val="00B62831"/>
    <w:rsid w:val="00B64F1E"/>
    <w:rsid w:val="00B871C9"/>
    <w:rsid w:val="00B905A6"/>
    <w:rsid w:val="00B94188"/>
    <w:rsid w:val="00BA1295"/>
    <w:rsid w:val="00BA26D4"/>
    <w:rsid w:val="00BA5B83"/>
    <w:rsid w:val="00BC0D1C"/>
    <w:rsid w:val="00BE16EB"/>
    <w:rsid w:val="00BF49CF"/>
    <w:rsid w:val="00BF6933"/>
    <w:rsid w:val="00C0757A"/>
    <w:rsid w:val="00C10152"/>
    <w:rsid w:val="00C5406C"/>
    <w:rsid w:val="00C6509F"/>
    <w:rsid w:val="00C66DA5"/>
    <w:rsid w:val="00C74772"/>
    <w:rsid w:val="00C92D0A"/>
    <w:rsid w:val="00CF2E0B"/>
    <w:rsid w:val="00CF5197"/>
    <w:rsid w:val="00D03D2A"/>
    <w:rsid w:val="00D10E11"/>
    <w:rsid w:val="00D15405"/>
    <w:rsid w:val="00D46738"/>
    <w:rsid w:val="00D5773B"/>
    <w:rsid w:val="00D60EC1"/>
    <w:rsid w:val="00D85B4E"/>
    <w:rsid w:val="00DA7BEF"/>
    <w:rsid w:val="00DA7E87"/>
    <w:rsid w:val="00DB1A04"/>
    <w:rsid w:val="00DB2267"/>
    <w:rsid w:val="00DB4158"/>
    <w:rsid w:val="00DC14BF"/>
    <w:rsid w:val="00DD2BB7"/>
    <w:rsid w:val="00DE686E"/>
    <w:rsid w:val="00DE7780"/>
    <w:rsid w:val="00DE7DA9"/>
    <w:rsid w:val="00DF709A"/>
    <w:rsid w:val="00E044F4"/>
    <w:rsid w:val="00E200FE"/>
    <w:rsid w:val="00E242B9"/>
    <w:rsid w:val="00E62C48"/>
    <w:rsid w:val="00E71A45"/>
    <w:rsid w:val="00E75641"/>
    <w:rsid w:val="00E95416"/>
    <w:rsid w:val="00EB77F4"/>
    <w:rsid w:val="00EC52EF"/>
    <w:rsid w:val="00EE612C"/>
    <w:rsid w:val="00EE68AA"/>
    <w:rsid w:val="00F0382B"/>
    <w:rsid w:val="00F15652"/>
    <w:rsid w:val="00F2256D"/>
    <w:rsid w:val="00F35CFE"/>
    <w:rsid w:val="00F4621C"/>
    <w:rsid w:val="00F64936"/>
    <w:rsid w:val="00FA01E1"/>
    <w:rsid w:val="00FA1816"/>
    <w:rsid w:val="00FA35D5"/>
    <w:rsid w:val="00FC0FF3"/>
    <w:rsid w:val="00FD0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8F6A1"/>
  <w15:chartTrackingRefBased/>
  <w15:docId w15:val="{D412577A-8E5C-48B5-8A6E-4E1E6A01D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sid w:val="003A3FBC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Arial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2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200F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200FE"/>
  </w:style>
  <w:style w:type="paragraph" w:styleId="Rodap">
    <w:name w:val="footer"/>
    <w:basedOn w:val="Normal"/>
    <w:link w:val="RodapChar"/>
    <w:uiPriority w:val="99"/>
    <w:unhideWhenUsed/>
    <w:rsid w:val="00E200F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200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2609</Words>
  <Characters>14089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Tarefa 3 - Gerenciamento da Qualidade - Projeto ROV-MB</dc:title>
  <dc:subject/>
  <dc:creator/>
  <cp:keywords/>
  <dc:description/>
  <cp:lastModifiedBy/>
  <cp:revision>6</cp:revision>
  <dcterms:created xsi:type="dcterms:W3CDTF">2026-09-16T02:26:00Z</dcterms:created>
  <dcterms:modified xsi:type="dcterms:W3CDTF">2026-10-14T14:50:01Z</dcterms:modified>
</cp:coreProperties>
</file>