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B3A5C"/>
          <w:sz w:val="56"/>
          <w:szCs w:val="56"/>
        </w:rPr>
        <w:t xml:space="preserve">PLAN DE PRUEBAS</w:t>
      </w:r>
    </w:p>
    <w:p>
      <w:pPr>
        <w:spacing w:before="200"/>
        <w:jc w:val="center"/>
      </w:pPr>
      <w:r>
        <w:rPr>
          <w:b/>
          <w:bCs/>
          <w:color w:val="333333"/>
          <w:sz w:val="32"/>
          <w:szCs w:val="32"/>
        </w:rPr>
        <w:t xml:space="preserve">Robot QA para Sistemas con Inteligencia Artificial</w:t>
      </w:r>
    </w:p>
    <w:p>
      <w:pPr>
        <w:spacing w:before="100"/>
        <w:jc w:val="center"/>
      </w:pPr>
      <w:r>
        <w:rPr>
          <w:i/>
          <w:iCs/>
          <w:sz w:val="24"/>
          <w:szCs w:val="24"/>
        </w:rPr>
        <w:t xml:space="preserve">Proyecto: Síntesis Automática de Reportes y Briefings Operacionales (MVP-Ciitec)</w:t>
      </w:r>
    </w:p>
    <w:p>
      <w:pPr>
        <w:spacing w:before="600"/>
        <w:jc w:val="center"/>
      </w:pPr>
      <w:r>
        <w:rPr>
          <w:sz w:val="24"/>
          <w:szCs w:val="24"/>
        </w:rPr>
        <w:t xml:space="preserve">Taller en Empresa 2</w:t>
      </w:r>
    </w:p>
    <w:p>
      <w:pPr>
        <w:spacing w:before="100"/>
        <w:jc w:val="center"/>
      </w:pPr>
      <w:r>
        <w:rPr>
          <w:sz w:val="22"/>
          <w:szCs w:val="22"/>
        </w:rPr>
        <w:t xml:space="preserve">Facultad de Ingeniería — Universidad San Sebastián</w:t>
      </w:r>
    </w:p>
    <w:p>
      <w:pPr>
        <w:spacing w:before="600"/>
        <w:jc w:val="center"/>
      </w:pPr>
      <w:r>
        <w:rPr>
          <w:sz w:val="22"/>
          <w:szCs w:val="22"/>
        </w:rPr>
        <w:t xml:space="preserve">Equipo: [completar con los integrantes]</w:t>
      </w:r>
    </w:p>
    <w:p>
      <w:pPr>
        <w:spacing w:before="100"/>
        <w:jc w:val="center"/>
      </w:pPr>
      <w:r>
        <w:rPr>
          <w:sz w:val="22"/>
          <w:szCs w:val="22"/>
        </w:rPr>
        <w:t xml:space="preserve">Fecha: 16 de septiembre de 2026 — Presentación: 23 de septiembre de 2026</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Objetivo del Documento</w:t>
      </w:r>
    </w:p>
    <w:p>
      <w:pPr>
        <w:spacing w:after="160"/>
      </w:pPr>
      <w:r>
        <w:t xml:space="preserve">Este Plan de Pruebas describe el enfoque, los recursos y el cronograma con que se diseñó, implementó y ejecutó el Robot QA del proyecto MVP-Ciitec: una plataforma de pruebas automatizadas para un sistema que incorpora un modelo de lenguaje (LLM) en su flujo de extracción de hechos y síntesis de reportes institucionales.</w:t>
      </w:r>
    </w:p>
    <w:p>
      <w:pPr>
        <w:spacing w:after="160"/>
      </w:pPr>
      <w:r>
        <w:t xml:space="preserve">Sigue el formato solicitado en la clase “C4 — Planificación de Pruebas QA” (ROBOT_QA/TE2 -C5 - PLANIFICACION PRUEBAS QA.pdf) y se apoya conceptualmente en ISO/IEC/IEEE 29119-1:2022 y en la “Guía para el desarrollo de un Robot QA para sistemas con inteligencia artificial” entregada por el profesor (ROBOT_QA/Guia_Proyecto_Robot_QA_para_Sistemas_IA_y_LLM.pdf).</w:t>
      </w:r>
    </w:p>
    <w:p>
      <w:pPr>
        <w:pStyle w:val="Heading1"/>
      </w:pPr>
      <w:r>
        <w:t xml:space="preserve">2. Alcance</w:t>
      </w:r>
    </w:p>
    <w:p>
      <w:pPr>
        <w:pStyle w:val="Heading2"/>
      </w:pPr>
      <w:r>
        <w:t xml:space="preserve">2.1 Sistema bajo prueba (SUT)</w:t>
      </w:r>
    </w:p>
    <w:p>
      <w:pPr>
        <w:spacing w:after="160"/>
      </w:pPr>
      <w:r>
        <w:t xml:space="preserve">MVP-Ciitec es una aplicación web on-premise que ingiere documentos heterogéneos (PDF, Word, Excel, correos, bitácoras), extrae hechos operacionales con un LLM (Gemini 2.5 Flash, vía endpoint OpenAI-compatible), sintetiza un briefing institucional versionado, detecta inconsistencias entre hechos y exporta el resultado a PDF, Word, texto plano y PPTX. Incorpora control de acceso por rol, unidad y nivel de clasificación (RESERVADO/SECRETO), trazabilidad de cada bullet a los hechos que lo respaldan, y una bitácora de auditoría con cadena de hash.</w:t>
      </w:r>
    </w:p>
    <w:p>
      <w:pPr>
        <w:spacing w:after="160"/>
      </w:pPr>
      <w:r>
        <w:t xml:space="preserve">Al incorporar un LLM en dos etapas críticas (extracción y síntesis), el sistema es no determinista, sensible al contexto y susceptible a alucinación — exactamente el tipo de sistema para el que la Guía del proyecto exige un enfoque de QA distinto al de pruebas de software tradicionales (Anexo A de ISO/IEC/IEEE 29119-1: fila “Inteligencia artificial”).</w:t>
      </w:r>
    </w:p>
    <w:p>
      <w:pPr>
        <w:pStyle w:val="Heading2"/>
      </w:pPr>
      <w:r>
        <w:t xml:space="preserve">2.2 Incluido</w:t>
      </w:r>
    </w:p>
    <w:p>
      <w:pPr>
        <w:pStyle w:val="ListParagraph"/>
        <w:numPr>
          <w:ilvl w:val="0"/>
          <w:numId w:val="2"/>
        </w:numPr>
        <w:spacing w:after="80"/>
      </w:pPr>
      <w:r>
        <w:t xml:space="preserve">Pruebas funcionales de extremo a extremo: ingesta, generación, versionado (RF-007), reconstrucción point-in-time (RF-009) y exportación (RF-008).</w:t>
      </w:r>
    </w:p>
    <w:p>
      <w:pPr>
        <w:pStyle w:val="ListParagraph"/>
        <w:numPr>
          <w:ilvl w:val="0"/>
          <w:numId w:val="2"/>
        </w:numPr>
        <w:spacing w:after="80"/>
      </w:pPr>
      <w:r>
        <w:t xml:space="preserve">Pruebas de calidad semántica y groundedness (RAG-like): que cada bullet del briefing esté respaldado por un hecho real y trazable (RF-006).</w:t>
      </w:r>
    </w:p>
    <w:p>
      <w:pPr>
        <w:pStyle w:val="ListParagraph"/>
        <w:numPr>
          <w:ilvl w:val="0"/>
          <w:numId w:val="2"/>
        </w:numPr>
        <w:spacing w:after="80"/>
      </w:pPr>
      <w:r>
        <w:t xml:space="preserve">Pruebas de robustez mediante relaciones metamórficas (parafraseo, reorden, documento faltante, documento irrelevante, duplicado, formato de fecha).</w:t>
      </w:r>
    </w:p>
    <w:p>
      <w:pPr>
        <w:pStyle w:val="ListParagraph"/>
        <w:numPr>
          <w:ilvl w:val="0"/>
          <w:numId w:val="2"/>
        </w:numPr>
        <w:spacing w:after="80"/>
      </w:pPr>
      <w:r>
        <w:t xml:space="preserve">Pruebas de seguridad contra el entorno propio: inyección de instrucciones, fuga por nivel de clasificación, RAG contaminado, consumo excesivo de recursos, integridad de la auditoría, sobreconfianza del sistema.</w:t>
      </w:r>
    </w:p>
    <w:p>
      <w:pPr>
        <w:pStyle w:val="ListParagraph"/>
        <w:numPr>
          <w:ilvl w:val="0"/>
          <w:numId w:val="2"/>
        </w:numPr>
        <w:spacing w:after="80"/>
      </w:pPr>
      <w:r>
        <w:t xml:space="preserve">Pruebas de rendimiento, incluyendo el requisito no funcional RNF-004 del proyecto (50 documentos procesados en menos de 3 minutos).</w:t>
      </w:r>
    </w:p>
    <w:p>
      <w:pPr>
        <w:pStyle w:val="ListParagraph"/>
        <w:numPr>
          <w:ilvl w:val="0"/>
          <w:numId w:val="2"/>
        </w:numPr>
        <w:spacing w:after="80"/>
      </w:pPr>
      <w:r>
        <w:t xml:space="preserve">Pruebas de confiabilidad: consistencia del resultado entre repeticiones de un mismo caso (no determinismo del LLM).</w:t>
      </w:r>
    </w:p>
    <w:p>
      <w:pPr>
        <w:pStyle w:val="ListParagraph"/>
        <w:numPr>
          <w:ilvl w:val="0"/>
          <w:numId w:val="2"/>
        </w:numPr>
        <w:spacing w:after="80"/>
      </w:pPr>
      <w:r>
        <w:t xml:space="preserve">Comparación automática contra una línea base para detectar regresiones entre versiones del sistema.</w:t>
      </w:r>
    </w:p>
    <w:p>
      <w:pPr>
        <w:pStyle w:val="Heading2"/>
      </w:pPr>
      <w:r>
        <w:t xml:space="preserve">2.3 No incluido (y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Excluido</w:t>
            </w:r>
          </w:p>
        </w:tc>
        <w:tc>
          <w:tcPr>
            <w:tcW w:type="dxa" w:w="6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Justificación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Entrenar o reentrenar el modelo fundacional (Gemini)</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 un servicio de terceros consumido vía API; el proyecto evalúa el SISTEMA que lo integra, no el modelo en sí.</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Certificación legal o regulatoria formal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Fuera del alcance académico del ramo; el robot produce evidencia técnica, no una certificación.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Uso de datos personales reales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Todo el corpus de prueba es sintético (scripts/gen_corpus.py), generado con datos ficticios.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Ataques contra infraestructura fuera del entorno de laboratorio</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Las pruebas de seguridad se ejecutan solo contra la instancia propia levantada con docker compose.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Medición de costo y tokens del LLM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API del SUT no expone esa información en sus respuestas; documentado como limitación conocida.</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Pruebas de fuga de datos ENTRE unidades no transversales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dataset de usuarios demo actual solo tiene una unidad no transversal (“I Brigada”); se prueba en cambio la fuga por nivel de clasificación, que sí es reproducible.</w:t>
            </w:r>
          </w:p>
        </w:tc>
      </w:tr>
    </w:tbl>
    <w:p>
      <w:pPr>
        <w:pStyle w:val="Heading1"/>
      </w:pPr>
      <w:r>
        <w:t xml:space="preserve">3. Referencias</w:t>
      </w:r>
    </w:p>
    <w:p>
      <w:pPr>
        <w:pStyle w:val="ListParagraph"/>
        <w:numPr>
          <w:ilvl w:val="0"/>
          <w:numId w:val="2"/>
        </w:numPr>
        <w:spacing w:after="80"/>
      </w:pPr>
      <w:r>
        <w:t xml:space="preserve">ISO/IEC/IEEE 29119-1:2022 — Software and systems engineering — Software testing — Part 1: General concepts (resumen ejecutivo entregado por el profesor).</w:t>
      </w:r>
    </w:p>
    <w:p>
      <w:pPr>
        <w:pStyle w:val="ListParagraph"/>
        <w:numPr>
          <w:ilvl w:val="0"/>
          <w:numId w:val="2"/>
        </w:numPr>
        <w:spacing w:after="80"/>
      </w:pPr>
      <w:r>
        <w:t xml:space="preserve">ISO/IEC/IEEE 29119-2:2021 — Test processes (citada en la Guía del proyecto como columna vertebral del proceso).</w:t>
      </w:r>
    </w:p>
    <w:p>
      <w:pPr>
        <w:pStyle w:val="ListParagraph"/>
        <w:numPr>
          <w:ilvl w:val="0"/>
          <w:numId w:val="2"/>
        </w:numPr>
        <w:spacing w:after="80"/>
      </w:pPr>
      <w:r>
        <w:t xml:space="preserve">ISO/IEC 25010:2023 y ISO/IEC 25059:2023 — Modelo de calidad de producto y su extensión para sistemas de IA.</w:t>
      </w:r>
    </w:p>
    <w:p>
      <w:pPr>
        <w:pStyle w:val="ListParagraph"/>
        <w:numPr>
          <w:ilvl w:val="0"/>
          <w:numId w:val="2"/>
        </w:numPr>
        <w:spacing w:after="80"/>
      </w:pPr>
      <w:r>
        <w:t xml:space="preserve">ISO/IEC 23894:2023 y NIST AI RMF 1.0 — Gestión de riesgos de IA.</w:t>
      </w:r>
    </w:p>
    <w:p>
      <w:pPr>
        <w:pStyle w:val="ListParagraph"/>
        <w:numPr>
          <w:ilvl w:val="0"/>
          <w:numId w:val="2"/>
        </w:numPr>
        <w:spacing w:after="80"/>
      </w:pPr>
      <w:r>
        <w:t xml:space="preserve">OWASP Top 10 for Large Language Model Applications — catálogo de escenarios de seguridad LLM.</w:t>
      </w:r>
    </w:p>
    <w:p>
      <w:pPr>
        <w:pStyle w:val="ListParagraph"/>
        <w:numPr>
          <w:ilvl w:val="0"/>
          <w:numId w:val="2"/>
        </w:numPr>
        <w:spacing w:after="80"/>
      </w:pPr>
      <w:r>
        <w:t xml:space="preserve">“Guía para el desarrollo de un Robot QA para sistemas con inteligencia artificial” (documento del ramo, ROBOT_QA/Guia_Proyecto_Robot_QA_para_Sistemas_IA_y_LLM.pdf).</w:t>
      </w:r>
    </w:p>
    <w:p>
      <w:pPr>
        <w:pStyle w:val="ListParagraph"/>
        <w:numPr>
          <w:ilvl w:val="0"/>
          <w:numId w:val="2"/>
        </w:numPr>
        <w:spacing w:after="80"/>
      </w:pPr>
      <w:r>
        <w:t xml:space="preserve">README.md del proyecto MVP-Ciitec — mapeo de requisitos funcionales (RF-001 a RF-010) y no funcionales (RNF-001 a RNF-006) a componentes del sistema.</w:t>
      </w:r>
    </w:p>
    <w:p>
      <w:pPr>
        <w:pStyle w:val="Heading1"/>
      </w:pPr>
      <w:r>
        <w:t xml:space="preserve">4. Estrategia de Pruebas</w:t>
      </w:r>
    </w:p>
    <w:p>
      <w:pPr>
        <w:pStyle w:val="Heading2"/>
      </w:pPr>
      <w:r>
        <w:t xml:space="preserve">4.1 Tipos de prueba</w:t>
      </w:r>
    </w:p>
    <w:p>
      <w:pPr>
        <w:spacing w:after="160"/>
      </w:pPr>
      <w:r>
        <w:t xml:space="preserve">Se combinan los tipos clásicos de la clase C4 con los que exige un sistema con LLM (Guía del proyecto,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Tipo</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Aplicación en el Robot QA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Unitarias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37 pruebas de los propios evaluadores y del agregador del robot (robot-qa/tests/), sin red ni LLM.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 “smoke”: 10 casos end-to-end contra la API real.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funcionales — rendimiento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 “rendimiento”: 5 casos, incluye el RNF-004 literal.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funcionales — seguridad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 “security”: 10 casos contra el entorno propio.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Semánticas / groundedness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 “rag”: 12 casos, evaluador citation_support + required_fact.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Metamórficas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 “robustez”: 10 casos, 6 relaciones (Guía S8).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 confiabilidad (no determinismo)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Suite “confiabilidad”: 5 casos con hasta 5 repeticiones.</w:t>
            </w:r>
          </w:p>
        </w:tc>
      </w:tr>
    </w:tbl>
    <w:p>
      <w:pPr>
        <w:pStyle w:val="Heading2"/>
      </w:pPr>
      <w:r>
        <w:t xml:space="preserve">4.2 Enfoque</w:t>
      </w:r>
    </w:p>
    <w:p>
      <w:pPr>
        <w:spacing w:after="160"/>
      </w:pPr>
      <w:r>
        <w:t xml:space="preserve">Enfoque de caja negra sobre la API REST del sistema (mismo contrato que usa el frontend), basado en casos de uso reales del README del proyecto, combinado con un enfoque de 6 niveles de evaluación tomado directamente de la Guía del proyecto (S7):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Nivel</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Método</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Evaluador(es) del robot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Aserciones deterministas (esquema, códigos HTTP, campos obligatorios)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schema, http_contract, rbac_leak, budget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Comparación con referencia (hechos requeridos)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required_fact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Métricas de recuperación / relaciones metamórficas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metamorphic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Rúbricas semánticas con escala anclada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rubric_llm (mismo juez que nivel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Evaluación por modelo (juez LLM independiente)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rubric_llm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Revisión humana + medición de acuerdo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human_review + robot_qa calibrate</w:t>
            </w:r>
          </w:p>
        </w:tc>
      </w:tr>
    </w:tbl>
    <w:p>
      <w:pPr>
        <w:pStyle w:val="Heading2"/>
      </w:pPr>
      <w:r>
        <w:t xml:space="preserve">4.3 Criterios de aceptación / rechazo</w:t>
      </w:r>
    </w:p>
    <w:p>
      <w:pPr>
        <w:spacing w:after="160"/>
      </w:pPr>
      <w:r>
        <w:t xml:space="preserve">Un caso individual se marca PASADO si todos sus evaluadores no-críticos pasan; FALLIDO si algún evaluador crítico falla o si algún evaluador no pasa; se envía a REVISIÓN HUMANA cuando el juez LLM da un puntaje límite (2-3 de 5) o el caso está marcado explícitamente para revisión. A nivel de campaña, el gate de liberación (Guía S11) es:</w:t>
      </w:r>
    </w:p>
    <w:p>
      <w:pPr>
        <w:spacing w:after="160"/>
      </w:pPr>
      <w:r>
        <w:rPr>
          <w:rFonts w:ascii="Consolas" w:cs="Consolas" w:eastAsia="Consolas" w:hAnsi="Consolas"/>
          <w:i/>
          <w:iCs/>
          <w:sz w:val="20"/>
          <w:szCs w:val="20"/>
        </w:rPr>
        <w:t xml:space="preserve">si fallos_críticos &gt; 0 → RECHAZAR; si no y task_success_rate &lt; umbral → RECHAZAR; si no y cola_revisión &gt; permitida → REVISIÓN HUMANA; si no → APROBAR.</w:t>
      </w:r>
    </w:p>
    <w:p>
      <w:pPr>
        <w:pStyle w:val="Heading1"/>
      </w:pPr>
      <w:r>
        <w:t xml:space="preserve">5. Elementos a Probar / No Incluidos</w:t>
      </w:r>
    </w:p>
    <w:p>
      <w:pPr>
        <w:pStyle w:val="Heading2"/>
      </w:pPr>
      <w:r>
        <w:t xml:space="preserve">5.1 Módulos y funcionalidades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Requisito</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Componente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Familia(s) de prueba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RF-001 Ingesta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pipeline/ingesta.py + storage.py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 rendimiento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RF-002 Normalización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pipeline/normalizacion.py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rag, robustez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RF-003 Extracción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pipeline/extraccion.py + llm/provider.py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rag, confiabilidad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RF-004 Generación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pipeline/sintesis.py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 rag, seguridad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RF-005 Inconsistencias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pipeline/deteccion.py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robustez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RF-006 Trazabilidad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version_bullet_hecho + /trazabilidad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rag, confiabilidad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RF-007 Versionado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briefing_versiones + aprobación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RF-008 Exportación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pipeline/exportacion.py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 rendimiento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RF-009 Point-in-time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/briefings/{id}/versiones?at=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RNF-001 Auth/RBAC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 (LDAP→JWT→RBAC)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seguridad, funcional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RNF-002 Cifrado/Clasificación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crypto.py + gate por nivel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seguridad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RNF-003 Auditoría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audit_log (hash chain)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seguridad, confiabilidad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RNF-004 Rendimiento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Celery group/chord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rendimiento</w:t>
            </w:r>
          </w:p>
        </w:tc>
      </w:tr>
    </w:tbl>
    <w:p>
      <w:pPr>
        <w:pStyle w:val="Heading1"/>
      </w:pPr>
      <w:r>
        <w:t xml:space="preserve">6. Recursos, Herramientas y Cronograma</w:t>
      </w:r>
    </w:p>
    <w:p>
      <w:pPr>
        <w:pStyle w:val="Heading2"/>
      </w:pPr>
      <w:r>
        <w:t xml:space="preserve">6.1 Equipo de pruebas (roles según Anexo B, ISO/IEC/IEEE 29119-1)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Rol</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Responsabilidad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 owner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 el contexto del SUT, la criticidad y los criterios de aceptación.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QA lead / Arquitecto de pruebas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Diseña la estrategia, la arquitectura del robot y el catálogo de cobertura.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evaluator engineer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Implementa evaluadores, rúbricas del juez LLM y calibración humana.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Platform engineer / Automatizador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Runner, adaptadores, CI, reportes.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 and privacy reviewer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Diseña y valida los escenarios de seguridad autorizados.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 reviewer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Revisa la muestra de casos límite y mide el acuerdo con el juez LLM.</w:t>
            </w:r>
          </w:p>
        </w:tc>
      </w:tr>
    </w:tbl>
    <w:p>
      <w:pPr>
        <w:spacing w:after="160"/>
      </w:pPr>
      <w:r>
        <w:rPr>
          <w:i/>
          <w:iCs/>
          <w:color w:val="888888"/>
        </w:rPr>
        <w:t xml:space="preserve">[Completar: asignar cada rol a un integrante del equipo.]</w:t>
      </w:r>
    </w:p>
    <w:p>
      <w:pPr>
        <w:pStyle w:val="Heading2"/>
      </w:pPr>
      <w:r>
        <w:t xml:space="preserve">6.2 Herramientas</w:t>
      </w:r>
    </w:p>
    <w:p>
      <w:pPr>
        <w:pStyle w:val="ListParagraph"/>
        <w:numPr>
          <w:ilvl w:val="0"/>
          <w:numId w:val="2"/>
        </w:numPr>
        <w:spacing w:after="80"/>
      </w:pPr>
      <w:r>
        <w:t xml:space="preserve">Python 3.11+, pydantic 2, httpx, PyYAML, Jinja2 — robot-qa/pyproject.toml.</w:t>
      </w:r>
    </w:p>
    <w:p>
      <w:pPr>
        <w:pStyle w:val="ListParagraph"/>
        <w:numPr>
          <w:ilvl w:val="0"/>
          <w:numId w:val="2"/>
        </w:numPr>
        <w:spacing w:after="80"/>
      </w:pPr>
      <w:r>
        <w:t xml:space="preserve">Docker Compose (Postgres+pgvector, Redis, MinIO, OpenLDAP, API, worker Celery, Nginx).</w:t>
      </w:r>
    </w:p>
    <w:p>
      <w:pPr>
        <w:pStyle w:val="ListParagraph"/>
        <w:numPr>
          <w:ilvl w:val="0"/>
          <w:numId w:val="2"/>
        </w:numPr>
        <w:spacing w:after="80"/>
      </w:pPr>
      <w:r>
        <w:t xml:space="preserve">Gemini 2.5 Flash (mismo proveedor LLM que usa el SUT en producción) para el juez semántico (rubric_llm).</w:t>
      </w:r>
    </w:p>
    <w:p>
      <w:pPr>
        <w:pStyle w:val="ListParagraph"/>
        <w:numPr>
          <w:ilvl w:val="0"/>
          <w:numId w:val="2"/>
        </w:numPr>
        <w:spacing w:after="80"/>
      </w:pPr>
      <w:r>
        <w:t xml:space="preserve">pytest para las pruebas unitarias del propio robot.</w:t>
      </w:r>
    </w:p>
    <w:p>
      <w:pPr>
        <w:pStyle w:val="ListParagraph"/>
        <w:numPr>
          <w:ilvl w:val="0"/>
          <w:numId w:val="2"/>
        </w:numPr>
        <w:spacing w:after="80"/>
      </w:pPr>
      <w:r>
        <w:t xml:space="preserve">GitHub Actions (.github/workflows/qa.yml) como CI Connector.</w:t>
      </w:r>
    </w:p>
    <w:p>
      <w:pPr>
        <w:pStyle w:val="Heading2"/>
      </w:pPr>
      <w:r>
        <w:t xml:space="preserve">6.3 Cronograma (8 semanas, según plan sugerido de la Guía 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Semana</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Objetivo</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Evidencia de término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Análisis del problema, riesgos y requisitos de calidad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Este Plan de Pruebas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Arquitectura del robot y modelo de casos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adapters/, evaluators/, models.py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Registro, runner y adaptador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casos smoke ejecutables con evidencia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Evaluadores deterministas y de referencia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schema, citation_support, required_fact, rbac_leak, budget, http_contract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Robustez, seguridad y evaluación semántica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metamorphic, rubric_llm, suites robustez/security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Confiabilidad, agregador y gate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human_review, aggregator, reportes HTML/JUnit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 línea base y demostración de regresión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qa.yml, baseline.json, rama demo/regresion-qa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Validación final, documentación y demo (23-sep)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Informe final, presentación, demo en vivo</w:t>
            </w:r>
          </w:p>
        </w:tc>
      </w:tr>
    </w:tbl>
    <w:p>
      <w:pPr>
        <w:pStyle w:val="Heading1"/>
      </w:pPr>
      <w:r>
        <w:t xml:space="preserve">7. Entorno de Pruebas</w:t>
      </w:r>
    </w:p>
    <w:p>
      <w:pPr>
        <w:spacing w:after="160"/>
      </w:pPr>
      <w:r>
        <w:t xml:space="preserve">El robot corre FUERA del stack de MVP-Ciitec (proceso Python independiente en el equipo del desarrollador) e invoca al sistema por su API REST pública (https://localhost/api), igual que lo hace el frontend real. Esto asegura que las pruebas ejercitan el sistema completo (autenticación, RBAC, Celery, base de datos, MinIO) y no un mock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Elemento</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Configuración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Orquestación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compose up --build (db, redis, minio, openldap, api, worker, beat, frontend, nginx)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Credenciales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 leen del mismo .env que usa el SUT (una sola fuente de verdad)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Usuarios de prueba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operaciones, analista, comandante, auditor, admin (db/seed.sql)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Datos de prueba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Documentos inline versionados en cada caso YAML + corpus sintético reproducible (scripts/gen_corpus.py, random.seed(42))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Control de versiones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Rama robot-qa (implementación) + rama demo/regresion-qa (regresión deliberada para la demo)</w:t>
            </w:r>
          </w:p>
        </w:tc>
      </w:tr>
    </w:tbl>
    <w:p>
      <w:pPr>
        <w:pStyle w:val="Heading1"/>
      </w:pPr>
      <w:r>
        <w:t xml:space="preserve">8. Gestión de Riesgos y Comunicación</w:t>
      </w:r>
    </w:p>
    <w:p>
      <w:pPr>
        <w:pStyle w:val="Heading2"/>
      </w:pPr>
      <w:r>
        <w:t xml:space="preserve">8.1 Riesgos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Riesgo</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Impacto</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Mitigación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determinismo del LLM produce falsos negativos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Repeticiones configurables (repetitions) + evaluador de consistencia (pass@k)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juez LLM (rubric_llm) tiene sus propios sesgos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 versionado en rubrics/ + calibración contra revisión humana (robot_qa calibrate)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Cuota/costo de la API de Gemini durante desarrollo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Bajo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Modo --replay reejecuta evaluadores sobre evidencia ya capturada, sin llamar al LLM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 corpus sintético no cubre todos los casos reales de la unidad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Bajo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Casos inline versionados con hechos explícitos y controlados, además del corpus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Solo hay una unidad no transversal en los usuarios demo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Bajo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Documentado como limitación; se prueba fuga por NIVEL en su lugar (ver §2.3)</w:t>
            </w:r>
          </w:p>
        </w:tc>
      </w:tr>
    </w:tbl>
    <w:p>
      <w:pPr>
        <w:pStyle w:val="Heading2"/>
      </w:pPr>
      <w:r>
        <w:t xml:space="preserve">8.2 Comunicación</w:t>
      </w:r>
    </w:p>
    <w:p>
      <w:pPr>
        <w:spacing w:after="160"/>
      </w:pPr>
      <w:r>
        <w:t xml:space="preserve">Reporte HTML autocontenido por cada corrida (reports/&lt;run_id&gt;.html) con el gate, las métricas y la evidencia de cada caso. Salida JUnit XML para integrarse a cualquier panel de CI. Reunión de avance semanal del equipo (bitácora del ramo).</w:t>
      </w:r>
    </w:p>
    <w:p>
      <w:pPr>
        <w:pStyle w:val="Heading1"/>
      </w:pPr>
      <w:r>
        <w:t xml:space="preserve">9. Control de Cambios</w:t>
      </w:r>
    </w:p>
    <w:p>
      <w:pPr>
        <w:spacing w:after="160"/>
      </w:pPr>
      <w:r>
        <w:t xml:space="preserve">El catálogo de casos es código versionado en git (robot-qa/testcases/), generado por robot-qa/scripts/generate_testcases.py: todo cambio a un caso pasa por commit y queda trazable. Los umbrales de aceptación viven en robot-qa/config/thresholds.yaml y en cada campaña (config/campaigns/*.yaml), separados del código de los evaluadores, para que ajustarlos no requiera tocar lógica. Cada corrida guarda un manifiesto de reproducibilidad (commit del SUT, commit del robot, modelo de LLM, umbrales) junto a su evidencia.</w:t>
      </w:r>
    </w:p>
    <w:p>
      <w:pPr>
        <w:pStyle w:val="Heading1"/>
      </w:pPr>
      <w:r>
        <w:t xml:space="preserve">Anexo A — Formato de Caso de Prueba</w:t>
      </w:r>
    </w:p>
    <w:p>
      <w:pPr>
        <w:spacing w:after="160"/>
      </w:pPr>
      <w:r>
        <w:t xml:space="preserve">Todos los 52 casos del catálogo siguen este formato (Guía del proyecto, S6):</w:t>
      </w:r>
    </w:p>
    <w:p>
      <w:pPr>
        <w:spacing w:after="160"/>
      </w:pPr>
      <w:r>
        <w:rPr>
          <w:rFonts w:ascii="Consolas" w:cs="Consolas" w:eastAsia="Consolas" w:hAnsi="Consolas"/>
          <w:sz w:val="18"/>
          <w:szCs w:val="18"/>
        </w:rPr>
        <w:t xml:space="preserve">case_id: RAG-001
requirement_id: RF-003
category: rag
input: {action: flujo_briefing, username: operaciones, titulo: RAG-001}
setup: {documents: [{name: arica.txt, content: '...'}]}
expected: {required_facts: [JAF Arica y Parinacota, Arica, Incendio forestal], citation_required: true}
evaluators: [schema, citation_support, required_fact]
thresholds: {}
repetitions: 1
severity: medium</w:t>
      </w:r>
    </w:p>
    <w:p>
      <w:pPr>
        <w:pStyle w:val="Heading1"/>
      </w:pPr>
      <w:r>
        <w:t xml:space="preserve">Anexo B — Formato de Registro de Incidencias</w:t>
      </w:r>
    </w:p>
    <w:p>
      <w:pPr>
        <w:spacing w:after="160"/>
      </w:pPr>
      <w:r>
        <w:t xml:space="preserve">Formato adoptado de la lámina 18 de la clase C4, usado para cada fallo que el robot detecta en una campaña: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Campo</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Ejemplo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de incidencia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BUG-001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Título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citation_support falla en RAG-006: 2 de 5 citas sin hecho_id resuelto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Descripción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 generar un briefing con 3 documentos, 2 bullets del resumen ejecutivo citan hecho_id inexistentes en la trazabilidad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Pasos para reproducir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-m robot_qa run --campaign rag --cases RAG-006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Severidad / Prioridad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Alta / Alta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Estado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Abierto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Evidencia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robot-qa/evidence/&lt;run_id&gt;/cases/RAG-006.json</w:t>
            </w:r>
          </w:p>
        </w:tc>
      </w:tr>
    </w:tbl>
    <w:p>
      <w:pPr>
        <w:pStyle w:val="Heading1"/>
      </w:pPr>
      <w:r>
        <w:t xml:space="preserve">Anexo C — Resumen del Catálogo de 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Suite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N.º de casos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Familia (Guía S5)</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rPr>
              <w:t xml:space="preserve">Evaluadores principales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smoke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http_contract, schema, budget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Calidad semántica / RAG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citation_support, required_fact, schema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robustez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Robustez (metamórfica)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metamorphic, schema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Seguridad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rbac_leak, http_contract, schema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rendimiento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Rendimiento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budget, schema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confiabilidad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Confiabilidad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schema, citation_support, required_fact</w:t>
            </w:r>
          </w:p>
        </w:tc>
      </w:tr>
    </w:tbl>
    <w:p>
      <w:pPr>
        <w:spacing w:after="160"/>
      </w:pPr>
      <w:r>
        <w:t xml:space="preserve">Total: 52 casos, cumpliendo el criterio de aceptación de la Guía del proyecto (S15: “al menos 50 casos, distribuidos en cuatro o más familias”, “al menos cinco evaluadores, con dos determinísticos” — el robot implementa 9 evaluadores, 6 de ellos deterministas).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Plan de Pruebas — Robot QA MVP-Ciitec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6" w:space="4"/>
      </w:pBdr>
      <w:spacing w:after="200" w:before="360"/>
      <w:outlineLvl w:val="0"/>
    </w:pPr>
    <w:rPr>
      <w:rFonts w:ascii="Calibri" w:cs="Calibri" w:eastAsia="Calibri" w:hAnsi="Calibri"/>
      <w:b/>
      <w:bCs/>
      <w:color w:val="1B3A5C"/>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1B3A5C"/>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2026-09-16T20:23:40.606Z</dcterms:created>
  <dcterms:modified xsi:type="dcterms:W3CDTF">2026-09-16T20:23:40.608Z</dcterms:modified>
</cp:coreProperties>
</file>

<file path=docProps/custom.xml><?xml version="1.0" encoding="utf-8"?>
<Properties xmlns="http://schemas.openxmlformats.org/officeDocument/2006/custom-properties" xmlns:vt="http://schemas.openxmlformats.org/officeDocument/2006/docPropsVTypes"/>
</file>