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rFonts w:ascii="Calibri" w:cs="Calibri" w:eastAsia="Calibri" w:hAnsi="Calibri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1401.2598425196836" w:firstLine="0"/>
        <w:jc w:val="center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color w:val="ffffff"/>
          <w:sz w:val="92"/>
          <w:szCs w:val="92"/>
          <w:rtl w:val="0"/>
        </w:rPr>
        <w:t xml:space="preserve">    BACKLOG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-129674</wp:posOffset>
                </wp:positionH>
                <wp:positionV relativeFrom="page">
                  <wp:posOffset>4763</wp:posOffset>
                </wp:positionV>
                <wp:extent cx="7696200" cy="10706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4575" y="0"/>
                          <a:ext cx="7696200" cy="10706100"/>
                          <a:chOff x="1564575" y="0"/>
                          <a:chExt cx="75628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4575" y="0"/>
                            <a:ext cx="7562850" cy="7560000"/>
                            <a:chOff x="1564575" y="0"/>
                            <a:chExt cx="75628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64575" y="0"/>
                              <a:ext cx="75628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4575" y="0"/>
                              <a:ext cx="7562850" cy="7560000"/>
                              <a:chOff x="0" y="0"/>
                              <a:chExt cx="7562850" cy="106965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562850" cy="1069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756285"/>
                                <a:ext cx="7562850" cy="9940290"/>
                              </a:xfrm>
                              <a:custGeom>
                                <a:rect b="b" l="l" r="r" t="t"/>
                                <a:pathLst>
                                  <a:path extrusionOk="0" h="9940290" w="7562850">
                                    <a:moveTo>
                                      <a:pt x="7562850" y="9199245"/>
                                    </a:moveTo>
                                    <a:lnTo>
                                      <a:pt x="0" y="9199245"/>
                                    </a:lnTo>
                                    <a:lnTo>
                                      <a:pt x="0" y="9939655"/>
                                    </a:lnTo>
                                    <a:lnTo>
                                      <a:pt x="7562850" y="9939655"/>
                                    </a:lnTo>
                                    <a:lnTo>
                                      <a:pt x="7562850" y="9199245"/>
                                    </a:lnTo>
                                    <a:close/>
                                    <a:moveTo>
                                      <a:pt x="756285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31900"/>
                                    </a:lnTo>
                                    <a:lnTo>
                                      <a:pt x="7562850" y="1231900"/>
                                    </a:lnTo>
                                    <a:lnTo>
                                      <a:pt x="7562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1C75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91465" y="0"/>
                                <a:ext cx="1692275" cy="10696575"/>
                              </a:xfrm>
                              <a:custGeom>
                                <a:rect b="b" l="l" r="r" t="t"/>
                                <a:pathLst>
                                  <a:path extrusionOk="0" h="10696575" w="1692275">
                                    <a:moveTo>
                                      <a:pt x="1186815" y="10696575"/>
                                    </a:moveTo>
                                    <a:lnTo>
                                      <a:pt x="0" y="10696575"/>
                                    </a:lnTo>
                                    <a:lnTo>
                                      <a:pt x="505460" y="0"/>
                                    </a:lnTo>
                                    <a:lnTo>
                                      <a:pt x="1691640" y="0"/>
                                    </a:lnTo>
                                    <a:lnTo>
                                      <a:pt x="1186815" y="106965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7CC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156335" cy="10696575"/>
                              </a:xfrm>
                              <a:custGeom>
                                <a:rect b="b" l="l" r="r" t="t"/>
                                <a:pathLst>
                                  <a:path extrusionOk="0" h="10696575" w="1156335">
                                    <a:moveTo>
                                      <a:pt x="601980" y="10696575"/>
                                    </a:moveTo>
                                    <a:lnTo>
                                      <a:pt x="0" y="1069657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55700" y="0"/>
                                    </a:lnTo>
                                    <a:lnTo>
                                      <a:pt x="601980" y="106965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1C75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6284595" y="8688705"/>
                                <a:ext cx="1278255" cy="2007870"/>
                              </a:xfrm>
                              <a:custGeom>
                                <a:rect b="b" l="l" r="r" t="t"/>
                                <a:pathLst>
                                  <a:path extrusionOk="0" h="2007870" w="1278255">
                                    <a:moveTo>
                                      <a:pt x="968375" y="2007235"/>
                                    </a:moveTo>
                                    <a:lnTo>
                                      <a:pt x="0" y="2007235"/>
                                    </a:lnTo>
                                    <a:lnTo>
                                      <a:pt x="526415" y="0"/>
                                    </a:lnTo>
                                    <a:lnTo>
                                      <a:pt x="1277620" y="0"/>
                                    </a:lnTo>
                                    <a:lnTo>
                                      <a:pt x="1277620" y="828040"/>
                                    </a:lnTo>
                                    <a:lnTo>
                                      <a:pt x="968375" y="2007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7CC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6753860" y="8270240"/>
                                <a:ext cx="808990" cy="2426335"/>
                              </a:xfrm>
                              <a:custGeom>
                                <a:rect b="b" l="l" r="r" t="t"/>
                                <a:pathLst>
                                  <a:path extrusionOk="0" h="2426335" w="808990">
                                    <a:moveTo>
                                      <a:pt x="808990" y="2425700"/>
                                    </a:moveTo>
                                    <a:lnTo>
                                      <a:pt x="0" y="2425700"/>
                                    </a:lnTo>
                                    <a:lnTo>
                                      <a:pt x="521970" y="0"/>
                                    </a:lnTo>
                                    <a:lnTo>
                                      <a:pt x="808990" y="0"/>
                                    </a:lnTo>
                                    <a:lnTo>
                                      <a:pt x="808990" y="2425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1C75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-129674</wp:posOffset>
                </wp:positionH>
                <wp:positionV relativeFrom="page">
                  <wp:posOffset>4763</wp:posOffset>
                </wp:positionV>
                <wp:extent cx="7696200" cy="107061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0" cy="1070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417.3228346456694" w:right="-667.7952755905511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96" w:line="252.00000000000003" w:lineRule="auto"/>
        <w:ind w:left="2113" w:right="103" w:firstLine="0"/>
        <w:jc w:val="center"/>
        <w:rPr>
          <w:rFonts w:ascii="Calibri" w:cs="Calibri" w:eastAsia="Calibri" w:hAnsi="Calibri"/>
          <w:b w:val="1"/>
          <w:color w:val="351c7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351c75"/>
          <w:sz w:val="89"/>
          <w:szCs w:val="89"/>
          <w:rtl w:val="0"/>
        </w:rPr>
        <w:t xml:space="preserve">CanchaYa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984.251968503937" w:firstLine="0"/>
        <w:jc w:val="center"/>
        <w:rPr>
          <w:rFonts w:ascii="Calibri" w:cs="Calibri" w:eastAsia="Calibri" w:hAnsi="Calibri"/>
          <w:b w:val="1"/>
          <w:i w:val="1"/>
          <w:color w:val="351c7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51c75"/>
          <w:sz w:val="34"/>
          <w:szCs w:val="34"/>
          <w:rtl w:val="0"/>
        </w:rPr>
        <w:t xml:space="preserve">Preparado Para</w:t>
      </w:r>
    </w:p>
    <w:p w:rsidR="00000000" w:rsidDel="00000000" w:rsidP="00000000" w:rsidRDefault="00000000" w:rsidRPr="00000000" w14:paraId="00000012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Corti Matias</w:t>
      </w:r>
    </w:p>
    <w:p w:rsidR="00000000" w:rsidDel="00000000" w:rsidP="00000000" w:rsidRDefault="00000000" w:rsidRPr="00000000" w14:paraId="00000013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25/04/2025</w:t>
      </w:r>
    </w:p>
    <w:p w:rsidR="00000000" w:rsidDel="00000000" w:rsidP="00000000" w:rsidRDefault="00000000" w:rsidRPr="00000000" w14:paraId="00000014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Versión 1.0</w:t>
      </w:r>
    </w:p>
    <w:p w:rsidR="00000000" w:rsidDel="00000000" w:rsidP="00000000" w:rsidRDefault="00000000" w:rsidRPr="00000000" w14:paraId="00000015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984.251968503937" w:firstLine="0"/>
        <w:jc w:val="center"/>
        <w:rPr>
          <w:rFonts w:ascii="Calibri" w:cs="Calibri" w:eastAsia="Calibri" w:hAnsi="Calibri"/>
          <w:b w:val="1"/>
          <w:i w:val="1"/>
          <w:color w:val="351c7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51c75"/>
          <w:sz w:val="34"/>
          <w:szCs w:val="34"/>
          <w:rtl w:val="0"/>
        </w:rPr>
        <w:t xml:space="preserve">Preparado Por</w:t>
      </w:r>
    </w:p>
    <w:p w:rsidR="00000000" w:rsidDel="00000000" w:rsidP="00000000" w:rsidRDefault="00000000" w:rsidRPr="00000000" w14:paraId="00000017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Antar, Mauro </w:t>
      </w:r>
    </w:p>
    <w:p w:rsidR="00000000" w:rsidDel="00000000" w:rsidP="00000000" w:rsidRDefault="00000000" w:rsidRPr="00000000" w14:paraId="00000018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Benitez, Ignacio</w:t>
      </w:r>
    </w:p>
    <w:p w:rsidR="00000000" w:rsidDel="00000000" w:rsidP="00000000" w:rsidRDefault="00000000" w:rsidRPr="00000000" w14:paraId="00000019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Cayo, Ariel</w:t>
      </w:r>
    </w:p>
    <w:p w:rsidR="00000000" w:rsidDel="00000000" w:rsidP="00000000" w:rsidRDefault="00000000" w:rsidRPr="00000000" w14:paraId="0000001A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Dieguez, Matias</w:t>
      </w:r>
    </w:p>
    <w:p w:rsidR="00000000" w:rsidDel="00000000" w:rsidP="00000000" w:rsidRDefault="00000000" w:rsidRPr="00000000" w14:paraId="0000001B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Mendez, Alexis</w:t>
      </w:r>
    </w:p>
    <w:p w:rsidR="00000000" w:rsidDel="00000000" w:rsidP="00000000" w:rsidRDefault="00000000" w:rsidRPr="00000000" w14:paraId="0000001C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Perez, Thiago</w:t>
      </w:r>
    </w:p>
    <w:p w:rsidR="00000000" w:rsidDel="00000000" w:rsidP="00000000" w:rsidRDefault="00000000" w:rsidRPr="00000000" w14:paraId="0000001D">
      <w:pPr>
        <w:ind w:left="1984.251968503937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674ea7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674ea7"/>
          <w:sz w:val="36"/>
          <w:szCs w:val="36"/>
          <w:rtl w:val="0"/>
        </w:rPr>
        <w:t xml:space="preserve">UTN </w:t>
      </w:r>
      <w:r w:rsidDel="00000000" w:rsidR="00000000" w:rsidRPr="00000000">
        <w:rPr>
          <w:rFonts w:ascii="Calibri" w:cs="Calibri" w:eastAsia="Calibri" w:hAnsi="Calibri"/>
          <w:color w:val="674ea7"/>
          <w:sz w:val="36"/>
          <w:szCs w:val="36"/>
          <w:rtl w:val="0"/>
        </w:rPr>
        <w:t xml:space="preserve">FRLP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color w:val="674ea7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674ea7"/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26">
      <w:pPr>
        <w:spacing w:line="360" w:lineRule="auto"/>
        <w:ind w:left="-566.9291338582675" w:firstLine="0"/>
        <w:jc w:val="both"/>
        <w:rPr>
          <w:rFonts w:ascii="Calibri" w:cs="Calibri" w:eastAsia="Calibri" w:hAnsi="Calibri"/>
          <w:color w:val="674ea7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d78vxtj1ot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        Preparacion y Analisis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92hhtzavl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     Definición Límites y Estructura Macro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9bd0ase9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     Diagrama Contextual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fjbsgzs9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     Mapa Funcional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5wm1rgfuq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     Identificación Temprana de Riesgos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j2in3nac1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        Modelado del Dominio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17djazt3r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     Modelo de Dominio Inicial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6y1ui5w51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   Glosario de Términos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py724p2ik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   Diagrama de Clase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e2tfpa9of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     Definición de Reglas de Negocio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tny8y7n3l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        Elaboración del Product Backlog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at45vs8vg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     Generación de Épicas y Refinamiento de épicas en features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dvc2pf81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     Diagramas cuando sea necesario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6m5qfse7i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     Diagrama de Actividad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8326tjqm1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     Diagrama de Estado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rwloulna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      Historias de Usuario por Feature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1ebe56olu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      Division de Historias de Usuario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  <w:color w:val="674ea7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2"/>
          <w:szCs w:val="32"/>
        </w:rPr>
      </w:pPr>
      <w:bookmarkStart w:colFirst="0" w:colLast="0" w:name="_8d78vxtj1ots" w:id="0"/>
      <w:bookmarkEnd w:id="0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1         Preparacion y Analisis Inicial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5e92hhtzavlt" w:id="1"/>
      <w:bookmarkEnd w:id="1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1.1      Definición Límites y Estructura Macro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c79bd0ase90o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1.1.1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Contextual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diseñar el Diagrama contextual se va a utilizar un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modelado C4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consta de una forma de documentar y visualizar la arquitectura de software. Los niveles de este modelo son los siguientes: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Contenedores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Componentes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Documento solo se van a diagramar los dos primeros niveles del modelado C4.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3433535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16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3535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Nivel 1: Diagrama Contextual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1088" cy="3715145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6147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715145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Nivel 2: Contenedor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nxfjbsgzs9g4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1.1.2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Mapa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15593" cy="3294996"/>
            <wp:effectExtent b="25400" l="25400" r="25400" t="254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118" l="0" r="0" t="1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3294996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color w:val="351c7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Mapa Funcional del Sistema</w:t>
      </w:r>
    </w:p>
    <w:p w:rsidR="00000000" w:rsidDel="00000000" w:rsidP="00000000" w:rsidRDefault="00000000" w:rsidRPr="00000000" w14:paraId="00000052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4p5wm1rgfuqb" w:id="4"/>
      <w:bookmarkEnd w:id="4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1.1      Identificación Temprana de Riesgos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485"/>
        <w:gridCol w:w="2010"/>
        <w:gridCol w:w="1365"/>
        <w:gridCol w:w="1035"/>
        <w:gridCol w:w="2475"/>
        <w:gridCol w:w="1590"/>
        <w:tblGridChange w:id="0">
          <w:tblGrid>
            <w:gridCol w:w="825"/>
            <w:gridCol w:w="1485"/>
            <w:gridCol w:w="2010"/>
            <w:gridCol w:w="1365"/>
            <w:gridCol w:w="1035"/>
            <w:gridCol w:w="2475"/>
            <w:gridCol w:w="1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RIesgo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Probabilidad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Estrategia de MItigación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R01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Doble reserva o conflictos de turnos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Superposición de reservas por errores en la agenda digital o mal registro manual.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 preventivo, monitoreo constante, servidor escalable.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backend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R02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Ampliación del Alcance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Incorporación no controlada de nuevas funcionalidades no previstas inicialmente. Pueden aparecer nuevas necesidades de los usuarios.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clara y documentada del alcance inicial. Establecer un Plan de Gestión de Cambios Formal.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R03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Brechas de Seguridad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 de datos personales (nombres, mails, tarjetas de pago) debido a vulnerabilidades del sitio.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HTTPS, validaciones de seguridad, escaneos de vulnerabilidades periódicos, política de contraseñas seguras.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Especialista en Ciberseguridad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 del Sitio Web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Inaccesibilidad de la página por fallos del servidor, hosting o ataques externos.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Contratar hosting confiable, monitoreo 24/7, sistema de alertas, backups automáticos, planes de recuperación rápida.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R05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Incompatibilidad  con Dispositivos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web no funciona correctamente en celulares o navegadores antiguos, afectando la experiencia del usuario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responsive, testing cross-browser y en distintos dispositivos, actualizaciones constantes de compatibilidad.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UX/UI y Desarrollo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2"/>
          <w:szCs w:val="32"/>
        </w:rPr>
      </w:pPr>
      <w:bookmarkStart w:colFirst="0" w:colLast="0" w:name="_84j2in3nac1l" w:id="5"/>
      <w:bookmarkEnd w:id="5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2         Modelado del Dominio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2u17djazt3rz" w:id="6"/>
      <w:bookmarkEnd w:id="6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2.1      Modelo de Dominio Inicial</w:t>
      </w:r>
    </w:p>
    <w:p w:rsidR="00000000" w:rsidDel="00000000" w:rsidP="00000000" w:rsidRDefault="00000000" w:rsidRPr="00000000" w14:paraId="00000086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w8xi39pi92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bx6y1ui5w51x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.1.1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00.0000000000002"/>
        <w:gridCol w:w="4134.999999999999"/>
        <w:gridCol w:w="1740"/>
        <w:gridCol w:w="3345"/>
        <w:tblGridChange w:id="0">
          <w:tblGrid>
            <w:gridCol w:w="1700.0000000000002"/>
            <w:gridCol w:w="4134.999999999999"/>
            <w:gridCol w:w="1740"/>
            <w:gridCol w:w="3345"/>
          </w:tblGrid>
        </w:tblGridChange>
      </w:tblGrid>
      <w:tr>
        <w:trPr>
          <w:cantSplit w:val="0"/>
          <w:trHeight w:val="482.9785156249988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674ea7" w:space="0" w:sz="12" w:val="single"/>
              <w:right w:color="b4a7d6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tcBorders>
              <w:top w:color="ffffff" w:space="0" w:sz="4" w:val="single"/>
              <w:left w:color="b4a7d6" w:space="0" w:sz="4" w:val="single"/>
              <w:bottom w:color="674ea7" w:space="0" w:sz="12" w:val="single"/>
              <w:right w:color="b4a7d6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Definición</w:t>
            </w:r>
          </w:p>
        </w:tc>
        <w:tc>
          <w:tcPr>
            <w:tcBorders>
              <w:top w:color="ffffff" w:space="0" w:sz="4" w:val="single"/>
              <w:left w:color="b4a7d6" w:space="0" w:sz="4" w:val="single"/>
              <w:bottom w:color="674ea7" w:space="0" w:sz="12" w:val="single"/>
              <w:right w:color="b4a7d6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Sinónimo(s)</w:t>
            </w:r>
          </w:p>
        </w:tc>
        <w:tc>
          <w:tcPr>
            <w:tcBorders>
              <w:top w:color="ffffff" w:space="0" w:sz="4" w:val="single"/>
              <w:left w:color="b4a7d6" w:space="0" w:sz="4" w:val="single"/>
              <w:bottom w:color="674ea7" w:space="0" w:sz="12" w:val="single"/>
              <w:right w:color="ffffff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físico donde se practica fútbol o pádel.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Campo, pista, espacio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de agendar un horario para usar una cancha.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Turno, alquiler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/ Reservas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 disponible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horaria habilitada para alquilar una cancha.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 libre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Jugador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 que utiliza las canchas y realiza reservas.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Cliente, usuario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 que gestiona el sistema y controla reservas, pagos y canchas.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Dueño, encargado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de crear un usuario en el sistema con sus datos.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Alta, crear cuenta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Transacción que realiza el jugador por la reserva.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Seña, abono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/ Pagos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presentado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una reserva donde el jugador no se presentó sin avisar.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Faltazo, colgado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Suspensión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Cancelación de turnos por causas externas (lluvia, mantenimiento, etc.).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Cierre, baja temporal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Período en que una cancha no se puede usar por trabajos técnicos.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Arreglo, reparación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de horarios habilitados para reservar una cancha.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Turnos abiertos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que se envía al jugador para avisos o recordatorios.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Mensaje, alerta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/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Estadísticas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históricos sobre reservas, ingresos y uso de canchas.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Reportes, métricas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 temporal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Inhabilitación de una cancha por un tiempo definido.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 momentánea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pendiente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que fue hecha pero aún no fue pagada o confirmada.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 sin pagar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confirmada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ya pagada o aprobada por el sistema.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 cerrado, turno fijo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reservas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todas las reservas hechas por un jugador.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Historial, movimientos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bv8kkdylrry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kkpy724p2ikh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2.1.2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de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3575" cy="4193853"/>
            <wp:effectExtent b="38100" l="38100" r="38100" t="381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75" cy="4193853"/>
                    </a:xfrm>
                    <a:prstGeom prst="rect"/>
                    <a:ln w="381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Calibri" w:cs="Calibri" w:eastAsia="Calibri" w:hAnsi="Calibri"/>
          <w:color w:val="351c75"/>
        </w:rPr>
      </w:pPr>
      <w:r w:rsidDel="00000000" w:rsidR="00000000" w:rsidRPr="00000000">
        <w:rPr>
          <w:rFonts w:ascii="Calibri" w:cs="Calibri" w:eastAsia="Calibri" w:hAnsi="Calibri"/>
          <w:color w:val="351c75"/>
          <w:rtl w:val="0"/>
        </w:rPr>
        <w:t xml:space="preserve">Diagrama de Clase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l9f154jvr49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0" w:before="0" w:line="360" w:lineRule="auto"/>
        <w:jc w:val="both"/>
        <w:rPr/>
      </w:pPr>
      <w:bookmarkStart w:colFirst="0" w:colLast="0" w:name="_one2tfpa9ofz" w:id="12"/>
      <w:bookmarkEnd w:id="12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2.2      Definición de Reglas de Negocio</w:t>
      </w: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370"/>
        <w:gridCol w:w="3795"/>
        <w:gridCol w:w="1740"/>
        <w:tblGridChange w:id="0">
          <w:tblGrid>
            <w:gridCol w:w="1650"/>
            <w:gridCol w:w="2370"/>
            <w:gridCol w:w="3795"/>
            <w:gridCol w:w="1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ffffff" w:space="0" w:sz="9" w:val="single"/>
              <w:left w:color="ffffff" w:space="0" w:sz="9" w:val="single"/>
              <w:bottom w:color="674ea7" w:space="0" w:sz="12" w:val="single"/>
              <w:right w:color="000000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REGLA DE NEGOCIO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d9d2e9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674ea7" w:space="0" w:sz="12" w:val="single"/>
              <w:left w:color="d9d2e9" w:space="0" w:sz="9" w:val="single"/>
              <w:bottom w:color="674ea7" w:space="0" w:sz="12" w:val="single"/>
              <w:right w:color="d9d2e9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REGLA</w:t>
            </w:r>
          </w:p>
        </w:tc>
        <w:tc>
          <w:tcPr>
            <w:tcBorders>
              <w:top w:color="674ea7" w:space="0" w:sz="12" w:val="single"/>
              <w:left w:color="d9d2e9" w:space="0" w:sz="9" w:val="single"/>
              <w:bottom w:color="674ea7" w:space="0" w:sz="12" w:val="single"/>
              <w:right w:color="d9d2e9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674ea7" w:space="0" w:sz="12" w:val="single"/>
              <w:left w:color="d9d2e9" w:space="0" w:sz="9" w:val="single"/>
              <w:bottom w:color="674ea7" w:space="0" w:sz="12" w:val="single"/>
              <w:right w:color="ffffff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MÓDULO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RN-ALQ-001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disponibilidad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mostrar disponibilidad de canchas según fecha y hora.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Alquileres, Canchas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RN-ALQ-002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reservar alquiler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deberá seleccionar al menos 1 cancha, fecha y hora para alquilar.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RN-ALQ-003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Cancelación de reservas de alquiler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permite cancelar una reserva si se realiza con al menos 1 día de anticipación.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RN-ALQ-004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reservas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deberá tener reservas hechas con anterioridad, el usuario podrá consultar su historial de reservas,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Alquileres, 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RN-ALQ-005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ABM de alquiler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el administrador puede dar de alta, baja o modificar un alquiler.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Alquileres, canchas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RN-ALQ-006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alquileres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puede visualizar todos los alquileres registrados.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Alquileres, canchas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RN-CAN-001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Notificaciones a usuarios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enviará notificaciones sobre confirmaciones y cancelaciones realizadas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Canchas, 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RN-CAN-002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ABM de canchas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el administrador puede crear, modificar o eliminar canchas.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Canchas, 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RN-CAN-003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Asignar precios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administradores pueden definir precios por cancha.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RN-USU-001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de sesión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usuario deberá iniciar sesión para acceder a funcionalidades personales.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RN-USU-002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perfil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podrán actualizar sus datos personales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RN-USU-003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reservas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usuarios pueden ver su historial de reservas desde su perfil.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Usuarios, Alquileres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RN-USU-004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ABM de usuarios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el administrador puede dar de baja o modificar usuarios.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RN-USU-005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Listado de usuarios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realizar consultar de todos los usuarios registrados.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RN-MSG-002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mensajes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cada usuario visualizar mensajes.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RN-MSG-004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Mensajes administrativos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enviar mensajes informativos solo a usuarios registrados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RN-MSG-005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Notificaciones de nuevos mensajes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notificaciones al usuario cuando reciba un nuevo mensaje.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Mensajería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RN-PAG-001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pagos por usuarios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a los usuarios registrar pagos realizados e ingresar comprobantes.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Pagos, 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RN-PAG-002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del pago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mostrará al usuario el estado del pago (pendiente, confirmado, rechazado).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RN-PAG-005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 de pagos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generar reportes de pagos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RN-PAG-006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Confirmación de validación de pago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enviará confirmación al usuario una vez validado el pago por el administrador.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Pagos, 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ffffff" w:space="0" w:sz="9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RN-PAG-007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ffffff" w:space="0" w:sz="9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editable de pago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ffffff" w:space="0" w:sz="9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permitirá marcar pagos como “abonado”, “pendiente” o “observado”.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ffffff" w:space="0" w:sz="9" w:val="single"/>
              <w:right w:color="ffffff" w:space="0" w:sz="9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Pagos</w:t>
            </w:r>
          </w:p>
        </w:tc>
      </w:tr>
    </w:tbl>
    <w:p w:rsidR="00000000" w:rsidDel="00000000" w:rsidP="00000000" w:rsidRDefault="00000000" w:rsidRPr="00000000" w14:paraId="0000013B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2"/>
          <w:szCs w:val="32"/>
        </w:rPr>
      </w:pPr>
      <w:bookmarkStart w:colFirst="0" w:colLast="0" w:name="_u5tny8y7n3lw" w:id="13"/>
      <w:bookmarkEnd w:id="13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3         Elaboración del Product Backlog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qwat45vs8vg0" w:id="14"/>
      <w:bookmarkEnd w:id="14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3.1      Generación de Épicas y Refinamiento de épicas en features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4005"/>
        <w:gridCol w:w="1230"/>
        <w:gridCol w:w="1215"/>
        <w:tblGridChange w:id="0">
          <w:tblGrid>
            <w:gridCol w:w="3045"/>
            <w:gridCol w:w="4005"/>
            <w:gridCol w:w="1230"/>
            <w:gridCol w:w="12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12" w:val="single"/>
              <w:left w:color="ffffff" w:space="0" w:sz="9" w:val="single"/>
              <w:bottom w:color="674ea7" w:space="0" w:sz="12" w:val="single"/>
              <w:right w:color="b4a7d6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Epica</w:t>
            </w:r>
          </w:p>
        </w:tc>
        <w:tc>
          <w:tcPr>
            <w:tcBorders>
              <w:top w:color="ffffff" w:space="0" w:sz="12" w:val="single"/>
              <w:left w:color="b4a7d6" w:space="0" w:sz="9" w:val="single"/>
              <w:bottom w:color="674ea7" w:space="0" w:sz="12" w:val="single"/>
              <w:right w:color="b4a7d6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Feature</w:t>
            </w:r>
          </w:p>
        </w:tc>
        <w:tc>
          <w:tcPr>
            <w:tcBorders>
              <w:top w:color="ffffff" w:space="0" w:sz="12" w:val="single"/>
              <w:left w:color="b4a7d6" w:space="0" w:sz="9" w:val="single"/>
              <w:bottom w:color="674ea7" w:space="0" w:sz="12" w:val="single"/>
              <w:right w:color="b4a7d6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12" w:val="single"/>
              <w:left w:color="b4a7d6" w:space="0" w:sz="9" w:val="single"/>
              <w:bottom w:color="674ea7" w:space="0" w:sz="12" w:val="single"/>
              <w:right w:color="ffffff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Estimación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.14356435643566" w:hRule="atLeast"/>
          <w:tblHeader w:val="0"/>
        </w:trPr>
        <w:tc>
          <w:tcPr>
            <w:tcBorders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Cancha</w:t>
            </w:r>
          </w:p>
        </w:tc>
        <w:tc>
          <w:tcPr>
            <w:tcBorders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FT01.1 Búsqueda y Navegación</w:t>
            </w:r>
          </w:p>
        </w:tc>
        <w:tc>
          <w:tcPr>
            <w:tcBorders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26732673267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Cancha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FT01.2 Gestión de canchas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26732673267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Alquiler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FT02.1 Proceso de Alquiler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26732673267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Alquiler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FT02.2 Proceso de Finalización del Alquiler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326732673267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RF_3 Gestionar Usuario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FT03.1 Gestionar Usuario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47524752475243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Registrar Pago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FT04.1 Enviar Comprobante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4009900990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Integrar sistema de pago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FT05.1 Registrar Pago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237623762376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RF_6 Notificar Usuario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FT06.1 Notificar Reserva Correcta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9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ffffff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m2dvc2pf81d8" w:id="15"/>
      <w:bookmarkEnd w:id="15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3.2      Diagramas cuando sea necesario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5k6m5qfse7il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3.2.1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de Actividad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78113" cy="6150774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113" cy="6150774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Calibri" w:cs="Calibri" w:eastAsia="Calibri" w:hAnsi="Calibri"/>
          <w:color w:val="351c7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Diagrama de Actividad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d68326tjqm1l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3.2.2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de Estado</w:t>
      </w:r>
    </w:p>
    <w:p w:rsidR="00000000" w:rsidDel="00000000" w:rsidP="00000000" w:rsidRDefault="00000000" w:rsidRPr="00000000" w14:paraId="00000170">
      <w:pPr>
        <w:spacing w:line="360" w:lineRule="auto"/>
        <w:ind w:left="708.6614173228347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63504" cy="3641601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504" cy="3641601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59176" cy="3654549"/>
            <wp:effectExtent b="25400" l="25400" r="25400" t="25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176" cy="3654549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            Estados de Alquiler                                      Estados de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cyrwloulna16" w:id="18"/>
      <w:bookmarkEnd w:id="18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3.3      Historias de Usuario por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[HU-001] Buscar una cancha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cliente,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buscar canchas disponibles por tipo y horario,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alquilar una cancha.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7D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 que ingreso una fecha y hora, se listan sólo las canchas disponibles</w:t>
      </w:r>
    </w:p>
    <w:p w:rsidR="00000000" w:rsidDel="00000000" w:rsidP="00000000" w:rsidRDefault="00000000" w:rsidRPr="00000000" w14:paraId="0000017E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no hay canchas disponibles en ese horario, cuando busco, entonces se muestra un mensaje claro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búsqueda en el frontend con React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Consulta a la API por disponibilidad con Django REST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RN-ALQ-001: Visualización de disponibilidad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RN-ALQ-006: Visualizar alquileres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[R04] Caída del Sitio Web: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[R05] Incompatibilidad con Dispositivos: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[HU-002] Gestionar una cancha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poder gestionar una cancha,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mantener actualizado su estado, horarios y precio.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administrador debe poder dar de alta una cancha.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administrador debe poder modificar las propiedades de una cancha existente y gestionar sus horarios (o turnos)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campos obligatorios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Formularios en React con consumo de endpoints Django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RN-CAN-002: ABM de canchas</w:t>
      </w:r>
    </w:p>
    <w:p w:rsidR="00000000" w:rsidDel="00000000" w:rsidP="00000000" w:rsidRDefault="00000000" w:rsidRPr="00000000" w14:paraId="00000198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RN-CAN-003: Asignación de precios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[R04] Caída del Sitio Web: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[R05] Incompatibilidad con Dispositivos:</w:t>
      </w:r>
    </w:p>
    <w:p w:rsidR="00000000" w:rsidDel="00000000" w:rsidP="00000000" w:rsidRDefault="00000000" w:rsidRPr="00000000" w14:paraId="0000019C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[HU-003] Proceso de Alquiler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seleccionar una cancha en horarios disponible ,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realizar una reserva de alquiler .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 soy un usuario  registrado, cuando selecciono una fecha y un horario disponible, entonces el sistema registra la reserva de una cancha.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el sistema muestra un error, cuando intento realizar una reserva en un horario, entonces la cancha ya está reservada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RN-ALQ-001: Visualización de disponibilidad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RN-ALQ-002: Reservar Alquiler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[R04] Caída del Sitio Web:</w:t>
      </w:r>
    </w:p>
    <w:p w:rsidR="00000000" w:rsidDel="00000000" w:rsidP="00000000" w:rsidRDefault="00000000" w:rsidRPr="00000000" w14:paraId="000001AF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[HU-004] Proceso de Finalización de 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finalizar un alquiler,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actualizar su estado y liberar el turno.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el turno terminó, cuando marcó el alquiler como finalizado, entonce se cambia el estado y se registra en el historial</w:t>
      </w:r>
    </w:p>
    <w:p w:rsidR="00000000" w:rsidDel="00000000" w:rsidP="00000000" w:rsidRDefault="00000000" w:rsidRPr="00000000" w14:paraId="000001B9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el jugador no se presentó, cuando lo marco como “no presentado”, se genera una alerta.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Modificar estado del turno (lógica por estados)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historial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 usuario.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BE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RN-ALQ-004: Historial de reservas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[R01]: Doble reserva o conflictos de turnos</w:t>
      </w:r>
    </w:p>
    <w:p w:rsidR="00000000" w:rsidDel="00000000" w:rsidP="00000000" w:rsidRDefault="00000000" w:rsidRPr="00000000" w14:paraId="000001C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[R02]: Ampliación del Alcance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[HU-005] Gestionar Usuario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poder hacer abm de usuarios ,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tener un control de acceso .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CC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soy administrador, Cuando accedo a la sección usuarios, Entonces puedo ver opciones de ABM.</w:t>
      </w:r>
    </w:p>
    <w:p w:rsidR="00000000" w:rsidDel="00000000" w:rsidP="00000000" w:rsidRDefault="00000000" w:rsidRPr="00000000" w14:paraId="000001CD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búsquedas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RN-USU-005:  Listado de usuarios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Modificación sin tecnologías de respaldos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[HU-006] Enviar comprobante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poder adjuntar un comprobante de pago ,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poder registrar el pago de la reserva.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DD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se realizó el pago, cuando subo el comprobante, entonces el sistema registra el proceso de reserva.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formato de archivo 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E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-005: Reportes de pagos</w:t>
      </w:r>
    </w:p>
    <w:p w:rsidR="00000000" w:rsidDel="00000000" w:rsidP="00000000" w:rsidRDefault="00000000" w:rsidRPr="00000000" w14:paraId="000001E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RN-PAG-006: Confirmación de validación de pagos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[HU-007] Registrar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poder registrar pagos,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confirmar que el jugador abonó la reserva.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recibo el comprobante, cuando válido, entonces el sistema marca el pago como confirmado y actualiza el estado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Calibri" w:cs="Calibri" w:eastAsia="Calibri" w:hAnsi="Calibri"/>
          <w:b w:val="1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F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-007: Estado editable de pago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F4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[R02]: Aplicación del Alcance</w:t>
      </w:r>
    </w:p>
    <w:p w:rsidR="00000000" w:rsidDel="00000000" w:rsidP="00000000" w:rsidRDefault="00000000" w:rsidRPr="00000000" w14:paraId="000001F5">
      <w:pPr>
        <w:numPr>
          <w:ilvl w:val="0"/>
          <w:numId w:val="1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[R03]: Brechas de Seguridad</w:t>
      </w:r>
    </w:p>
    <w:p w:rsidR="00000000" w:rsidDel="00000000" w:rsidP="00000000" w:rsidRDefault="00000000" w:rsidRPr="00000000" w14:paraId="000001F6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Calibri" w:cs="Calibri" w:eastAsia="Calibri" w:hAnsi="Calibri"/>
          <w:b w:val="1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highlight w:val="green"/>
          <w:rtl w:val="0"/>
        </w:rPr>
        <w:t xml:space="preserve">[HU-008] Notificar reserva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recibir una notificación cuando mi reserva está confirmada, 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saber qué está asegurado.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F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la reserva se confirma. cuando el estado pasa a confirmado, se envía una notificación al jugador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mensajería o notificaciones push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0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RN-CAN-001: Notificaciones a usuarios</w:t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RN-MSG-005:  Visualizar mensajes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[R05]: Incompatibilidad con dispositivos</w:t>
      </w:r>
    </w:p>
    <w:p w:rsidR="00000000" w:rsidDel="00000000" w:rsidP="00000000" w:rsidRDefault="00000000" w:rsidRPr="00000000" w14:paraId="00000207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Calibri" w:cs="Calibri" w:eastAsia="Calibri" w:hAnsi="Calibri"/>
          <w:b w:val="1"/>
        </w:rPr>
      </w:pPr>
      <w:commentRangeStart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[HU-009] Cancelar reserva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cancelar una reserva 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liberar la cancha.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Exito: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soy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registrado, quiero cancelar una reserva 2 días antes de la fecha de reserva, se puede cancelar la reserva correctamente.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Fallo: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soy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registrado, quiero cancelar una reserva 3 horas antes de la fecha y hora de la reserva, no sé realizar la cancelación.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RN-ALQ-003 Cancelación de reservas de Alquiler 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1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Caída del sitio Web.</w:t>
      </w:r>
    </w:p>
    <w:p w:rsidR="00000000" w:rsidDel="00000000" w:rsidP="00000000" w:rsidRDefault="00000000" w:rsidRPr="00000000" w14:paraId="0000021B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Incompatibilidad con dispositivos.</w:t>
      </w:r>
    </w:p>
    <w:p w:rsidR="00000000" w:rsidDel="00000000" w:rsidP="00000000" w:rsidRDefault="00000000" w:rsidRPr="00000000" w14:paraId="0000021C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Calibri" w:cs="Calibri" w:eastAsia="Calibri" w:hAnsi="Calibri"/>
          <w:b w:val="1"/>
        </w:rPr>
      </w:pPr>
      <w:commentRangeStart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[HU-010]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dueño, quiero definir y gestionar los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turnos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una cancha de mi complejo, para que los clientes realicen las reservas.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23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dueño debe poder establecer los horarios de los turnos diarios, semanales y anuales de una cancha.</w:t>
      </w:r>
    </w:p>
    <w:p w:rsidR="00000000" w:rsidDel="00000000" w:rsidP="00000000" w:rsidRDefault="00000000" w:rsidRPr="00000000" w14:paraId="00000224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dueño debe poder buscar y consultar un turno específico.</w:t>
      </w:r>
    </w:p>
    <w:p w:rsidR="00000000" w:rsidDel="00000000" w:rsidP="00000000" w:rsidRDefault="00000000" w:rsidRPr="00000000" w14:paraId="00000225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dueño debe poder deshabilitar y habilitar un turno específico.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Habrá que implementar una interfaz para calendarios para los turnos de cada cancha y un cronograma diario.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2A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jy1ebe56olul" w:id="19"/>
      <w:bookmarkEnd w:id="19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3.4      Division de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hiago Perez" w:id="2" w:date="2025-05-03T01:03:23Z"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feature corresponde?</w:t>
      </w:r>
    </w:p>
  </w:comment>
  <w:comment w:author="Thiago Perez" w:id="3" w:date="2025-05-03T17:39:06Z"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¿Esto es una modificacion a la primera historia de usuario?</w:t>
      </w:r>
    </w:p>
  </w:comment>
  <w:comment w:author="Thiago Perez" w:id="1" w:date="2025-05-03T17:29:10Z"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 que poner</w:t>
      </w:r>
    </w:p>
  </w:comment>
  <w:comment w:author="Thiago Perez" w:id="0" w:date="2025-05-03T17:39:51Z"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Habria que hacer las estimaciones con planning poker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0">
    <w:pPr>
      <w:rPr>
        <w:rFonts w:ascii="Calibri" w:cs="Calibri" w:eastAsia="Calibri" w:hAnsi="Calibri"/>
        <w:color w:val="674ea7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spacing w:line="360" w:lineRule="auto"/>
      <w:jc w:val="right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rPr/>
    </w:pPr>
    <w:r w:rsidDel="00000000" w:rsidR="00000000" w:rsidRPr="00000000">
      <w:rPr>
        <w:rFonts w:ascii="Calibri" w:cs="Calibri" w:eastAsia="Calibri" w:hAnsi="Calibri"/>
        <w:color w:val="999999"/>
        <w:sz w:val="26"/>
        <w:szCs w:val="26"/>
        <w:rtl w:val="0"/>
      </w:rPr>
      <w:t xml:space="preserve">Documento de BackLog , CanchaYa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674ea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footer" Target="footer2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yperlink" Target="https://c4mod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