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GESTIONAR TRANSFERENCIAS 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Santander Argentina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 de Transferencias Electrónicas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ST003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>ST003GestionarTransferenciasBancarias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Gestionar Transferencias Bancarias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api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Desarrollar un caso de uso para gestionar transferencias bancarias electrónicas entre cuentas propias y de terceros, incluyendo validaciones de seguridad, límites operativos y trazabilidad completa de todas las operaciones. El sistema debe permitir a los clientes realizar transferencias de dinero de forma segura y eficiente, con validaciones automáticas de fondos, límites diarios, y cumplimiento de normativas del Banco Central. Debe incluir funcionalidades para programar transferencias futuras y generar comprobantes.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REGLAS DE NEGOCIO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Solo clientes con cuentas activas pueden realizar transferencias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Validar saldo suficiente incluyendo comisiones antes de procesar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Aplicar límites diarios según perfil del cliente (Estándar: $500.000, Premium: $2.000.000)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Transferencias superiores a $100.000 requieren doble autenticación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Comisión del 0.5% para bancos externos, gratis para cuentas propias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Todas las operaciones deben registrarse para cumplimiento BCRA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Transferencias programadas se procesan a las 9:00 AM del día seleccionado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8. • Timeout de sesión de 10 minutos por seguridad durante el proceso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REQUERIMIENTOS ESPECIALES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Integración con API del Banco Central para validación de CBU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Encriptación de datos sensibles con algoritmo AES-256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Registro completo de auditoría para cumplimiento normativo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Notificaciones SMS/email para transferencias superiores a $50.000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Backup automático de operaciones cada 5 minutos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Monitoreo en tiempo real de operaciones sospechosas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Interfaz accesible compatible con lectores de pantalla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PRECONDICIONES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El usuario debe estar autenticado en el sistema y tener los permisos necesarios para acceder a este caso de uso.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POSTCONDICIONES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Los datos de la entidad quedan actualizados en el sistema y se registra la auditoría correspondiente.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HISTORIA DE REVISIONES Y APROBACIONES</w:t>
      </w:r>
    </w:p>
    <w:tbl>
      <w:tblPr>
        <w:tblW w:type="dxa" w:w="9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Fecha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Responsable</w:t>
            </w:r>
          </w:p>
        </w:tc>
        <w:tc>
          <w:tcPr>
            <w:tcW w:type="dxa" w:w="4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Comentario</w:t>
            </w:r>
          </w:p>
        </w:tc>
      </w:tr>
      <w:tr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5/8/2025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Creación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Sistema</w:t>
            </w:r>
          </w:p>
        </w:tc>
        <w:tc>
          <w:tcPr>
            <w:tcW w:type="dxa" w:w="4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Versión original</w:t>
            </w:r>
          </w:p>
        </w:tc>
      </w:tr>
    </w:tbl>
    <w:p>
      <w:pPr>
        <w:spacing w:after="240"/>
      </w:pP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340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360"/>
      </w:tabs>
    </w:pPr>
    <w:r>
      <w:rPr>
        <w:rFonts w:ascii="Segoe UI Semilight" w:cs="Segoe UI Semilight" w:eastAsia="Segoe UI Semilight" w:hAnsi="Segoe UI Semilight"/>
        <w:sz w:val="18"/>
        <w:szCs w:val="18"/>
      </w:rPr>
      <w:t xml:space="preserve">página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 de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	Gestionar Transferencias Bancarias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e0b1ea7f71986fd1ffea91905986eeb379ff9c2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2025-08-05T22:21:03.535Z</dcterms:created>
  <dcterms:modified xsi:type="dcterms:W3CDTF">2025-08-05T22:21:03.535Z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