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  <w:jc w:val="left"/>
      </w:pPr>
      <w:r>
        <w:rPr>
          <w:rFonts w:ascii="Segoe UI Semilight" w:cs="Segoe UI Semilight" w:eastAsia="Segoe UI Semilight" w:hAnsi="Segoe UI Semilight"/>
          <w:b/>
          <w:bCs/>
          <w:color w:val="0070C0"/>
          <w:sz w:val="48"/>
          <w:szCs w:val="48"/>
        </w:rPr>
        <w:t xml:space="preserve">GESTIONAR TRANSFERENCIAS BANCARIAS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INFORMACIÓN DEL PROYECTO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Cliente: </w:t>
      </w:r>
      <w:r>
        <w:rPr>
          <w:rFonts w:ascii="Segoe UI Semilight" w:cs="Segoe UI Semilight" w:eastAsia="Segoe UI Semilight" w:hAnsi="Segoe UI Semilight"/>
        </w:rPr>
        <w:t xml:space="preserve">Banco Santander Argentina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Proyecto: </w:t>
      </w:r>
      <w:r>
        <w:rPr>
          <w:rFonts w:ascii="Segoe UI Semilight" w:cs="Segoe UI Semilight" w:eastAsia="Segoe UI Semilight" w:hAnsi="Segoe UI Semilight"/>
        </w:rPr>
        <w:t xml:space="preserve">Sistema de Gestión de Transferencias Electrónicas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Código: </w:t>
      </w:r>
      <w:r>
        <w:rPr>
          <w:rFonts w:ascii="Segoe UI Semilight" w:cs="Segoe UI Semilight" w:eastAsia="Segoe UI Semilight" w:hAnsi="Segoe UI Semilight"/>
        </w:rPr>
        <w:t xml:space="preserve">ST003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Archivo: </w:t>
      </w:r>
      <w:r>
        <w:rPr>
          <w:rFonts w:ascii="Segoe UI Semilight" w:cs="Segoe UI Semilight" w:eastAsia="Segoe UI Semilight" w:hAnsi="Segoe UI Semilight"/>
        </w:rPr>
        <w:t xml:space="preserve">ST003GestionarTransferenciasBancarias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DESCRIPCIÓN DEL CASO DE USO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Nombre: </w:t>
      </w:r>
      <w:r>
        <w:rPr>
          <w:rFonts w:ascii="Segoe UI Semilight" w:cs="Segoe UI Semilight" w:eastAsia="Segoe UI Semilight" w:hAnsi="Segoe UI Semilight"/>
        </w:rPr>
        <w:t xml:space="preserve">Gestionar Transferencias Bancarias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Tipo: </w:t>
      </w:r>
      <w:r>
        <w:rPr>
          <w:rFonts w:ascii="Segoe UI Semilight" w:cs="Segoe UI Semilight" w:eastAsia="Segoe UI Semilight" w:hAnsi="Segoe UI Semilight"/>
        </w:rPr>
        <w:t xml:space="preserve">api</w:t>
      </w:r>
    </w:p>
    <w:p>
      <w:pPr>
        <w:spacing w:after="120"/>
      </w:pPr>
      <w:r>
        <w:rPr>
          <w:rFonts w:ascii="Segoe UI Semilight" w:cs="Segoe UI Semilight" w:eastAsia="Segoe UI Semilight" w:hAnsi="Segoe UI Semilight"/>
          <w:b/>
          <w:bCs/>
        </w:rPr>
        <w:t xml:space="preserve">• Descripción: </w:t>
      </w:r>
      <w:r>
        <w:rPr>
          <w:rFonts w:ascii="Segoe UI Semilight" w:cs="Segoe UI Semilight" w:eastAsia="Segoe UI Semilight" w:hAnsi="Segoe UI Semilight"/>
        </w:rPr>
        <w:t xml:space="preserve">Desarrollar un caso de uso para gestionar transferencias bancarias electrónicas entre cuentas propias y de terceros, incluyendo validaciones de seguridad, límites operativos y trazabilidad completa de todas las operaciones. El sistema debe permitir a los clientes realizar transferencias de dinero de forma segura y eficiente, con validaciones automáticas de fondos, límites diarios, y cumplimiento de normativas del Banco Central. Debe incluir funcionalidades para programar transferencias futuras y generar comprobantes.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REGLAS DE NEGOCIO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• Solo clientes con cuentas activas pueden realizar transferencias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2. • Validar saldo suficiente incluyendo comisiones antes de procesar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3. • Aplicar límites diarios según perfil del cliente (Estándar: $500.000, Premium: $2.000.000)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4. • Transferencias superiores a $100.000 requieren doble autenticación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5. • Comisión del 0.5% para bancos externos, gratis para cuentas propias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6. • Todas las operaciones deben registrarse para cumplimiento BCRA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7. • Transferencias programadas se procesan a las 9:00 AM del día seleccionado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8. • Timeout de sesión de 10 minutos por seguridad durante el proceso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REQUERIMIENTOS ESPECIALES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1. • Integración con API del Banco Central para validación de CBU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2. • Encriptación de datos sensibles con algoritmo AES-256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3. • Registro completo de auditoría para cumplimiento normativo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4. • Notificaciones SMS/email para transferencias superiores a $50.000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5. • Backup automático de operaciones cada 5 minutos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6. • Monitoreo en tiempo real de operaciones sospechosas</w:t>
      </w:r>
    </w:p>
    <w:p>
      <w:pPr>
        <w:spacing w:after="80"/>
        <w:ind w:left="288"/>
      </w:pPr>
      <w:r>
        <w:rPr>
          <w:rFonts w:ascii="Segoe UI Semilight" w:cs="Segoe UI Semilight" w:eastAsia="Segoe UI Semilight" w:hAnsi="Segoe UI Semilight"/>
        </w:rPr>
        <w:t xml:space="preserve">7. • Interfaz accesible compatible con lectores de pantalla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PRECONDICIONES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El usuario debe estar autenticado en el sistema y tener los permisos necesarios para acceder a este caso de uso.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POSTCONDICIONES</w:t>
      </w:r>
    </w:p>
    <w:p>
      <w:pPr>
        <w:spacing w:after="120"/>
      </w:pPr>
      <w:r>
        <w:rPr>
          <w:rFonts w:ascii="Segoe UI Semilight" w:cs="Segoe UI Semilight" w:eastAsia="Segoe UI Semilight" w:hAnsi="Segoe UI Semilight"/>
        </w:rPr>
        <w:t xml:space="preserve">Los datos de la entidad quedan actualizados en el sistema y se registra la auditoría correspondiente.</w:t>
      </w:r>
    </w:p>
    <w:p>
      <w:pPr>
        <w:pStyle w:val="Heading2"/>
        <w:keepNext/>
        <w:keepLines/>
        <w:pBdr>
          <w:bottom w:val="single" w:color="006BB6" w:sz="8" w:space="1"/>
          <w:left w:val="single" w:color="006BB6" w:sz="8" w:space="1"/>
        </w:pBdr>
        <w:spacing w:before="240" w:after="240"/>
        <w:ind w:left="120"/>
      </w:pPr>
      <w:r>
        <w:rPr>
          <w:rFonts w:ascii="Segoe UI" w:cs="Segoe UI" w:eastAsia="Segoe UI" w:hAnsi="Segoe UI"/>
          <w:b/>
          <w:bCs/>
          <w:color w:val="006BB6"/>
          <w:sz w:val="24"/>
          <w:szCs w:val="24"/>
        </w:rPr>
        <w:t xml:space="preserve">HISTORIA DE REVISIONES Y APROBACIONES</w:t>
      </w:r>
    </w:p>
    <w:tbl>
      <w:tblPr>
        <w:tblW w:type="dxa" w:w="9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72"/>
          <w:left w:type="dxa" w:w="72"/>
          <w:bottom w:type="dxa" w:w="72"/>
          <w:right w:type="dxa" w:w="72"/>
        </w:tblCellMar>
      </w:tblPr>
      <w:tblGrid>
        <w:gridCol w:w="100"/>
        <w:gridCol w:w="100"/>
        <w:gridCol w:w="100"/>
        <w:gridCol w:w="100"/>
      </w:tblGrid>
      <w:tr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Fecha</w:t>
            </w:r>
          </w:p>
        </w:tc>
        <w:tc>
          <w:tcPr>
            <w:tcW w:type="dxa" w:w="20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Acción</w:t>
            </w:r>
          </w:p>
        </w:tc>
        <w:tc>
          <w:tcPr>
            <w:tcW w:type="dxa" w:w="2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Responsable</w:t>
            </w:r>
          </w:p>
        </w:tc>
        <w:tc>
          <w:tcPr>
            <w:tcW w:type="dxa" w:w="4500"/>
            <w:shd w:fill="DEEAF6"/>
          </w:tcPr>
          <w:p>
            <w:pPr>
              <w:jc w:val="center"/>
            </w:pPr>
            <w:r>
              <w:rPr>
                <w:rFonts w:ascii="Segoe UI Semilight" w:cs="Segoe UI Semilight" w:eastAsia="Segoe UI Semilight" w:hAnsi="Segoe UI Semilight"/>
                <w:b/>
                <w:bCs/>
              </w:rPr>
              <w:t xml:space="preserve">Comentario</w:t>
            </w:r>
          </w:p>
        </w:tc>
      </w:tr>
      <w:tr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5/8/2025</w:t>
            </w:r>
          </w:p>
        </w:tc>
        <w:tc>
          <w:tcPr>
            <w:tcW w:type="dxa" w:w="20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Creación</w:t>
            </w:r>
          </w:p>
        </w:tc>
        <w:tc>
          <w:tcPr>
            <w:tcW w:type="dxa" w:w="2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Sistema</w:t>
            </w:r>
          </w:p>
        </w:tc>
        <w:tc>
          <w:tcPr>
            <w:tcW w:type="dxa" w:w="4500"/>
          </w:tcPr>
          <w:p>
            <w:r>
              <w:rPr>
                <w:rFonts w:ascii="Segoe UI Semilight" w:cs="Segoe UI Semilight" w:eastAsia="Segoe UI Semilight" w:hAnsi="Segoe UI Semilight"/>
              </w:rPr>
              <w:t xml:space="preserve">Versión original</w:t>
            </w:r>
          </w:p>
        </w:tc>
      </w:tr>
    </w:tbl>
    <w:p>
      <w:pPr>
        <w:spacing w:after="240"/>
      </w:pP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340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360"/>
      </w:tabs>
    </w:pPr>
    <w:r>
      <w:rPr>
        <w:rFonts w:ascii="Segoe UI Semilight" w:cs="Segoe UI Semilight" w:eastAsia="Segoe UI Semilight" w:hAnsi="Segoe UI Semilight"/>
        <w:sz w:val="18"/>
        <w:szCs w:val="18"/>
      </w:rPr>
      <w:t xml:space="preserve">página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PAGE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 de </w:t>
    </w:r>
    <w:r>
      <w:rPr>
        <w:rFonts w:ascii="Segoe UI Semilight" w:cs="Segoe UI Semilight" w:eastAsia="Segoe UI Semilight" w:hAnsi="Segoe UI Semilight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>
      <w:rPr>
        <w:rFonts w:ascii="Segoe UI Semilight" w:cs="Segoe UI Semilight" w:eastAsia="Segoe UI Semilight" w:hAnsi="Segoe UI Semilight"/>
        <w:sz w:val="18"/>
        <w:szCs w:val="18"/>
      </w:rPr>
      <w:t xml:space="preserve">	Gestionar Transferencias Bancarias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5715000" cy="762000"/>
          <wp:effectExtent t="0" r="0" b="0" l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4e0b1ea7f71986fd1ffea91905986eeb379ff9c2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2025-08-05T22:49:38.494Z</dcterms:created>
  <dcterms:modified xsi:type="dcterms:W3CDTF">2025-08-05T22:49:38.494Z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