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left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48"/>
          <w:szCs w:val="48"/>
        </w:rPr>
        <w:t xml:space="preserve">BP001-GESTIONAR INFORMACIÓN CLIENTE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INFORMACIÓN DEL PROYECTO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Cliente: </w:t>
      </w:r>
      <w:r>
        <w:rPr>
          <w:rFonts w:ascii="Segoe UI Semilight" w:cs="Segoe UI Semilight" w:eastAsia="Segoe UI Semilight" w:hAnsi="Segoe UI Semilight"/>
        </w:rPr>
        <w:t xml:space="preserve">Banco ING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Proyecto: </w:t>
      </w:r>
      <w:r>
        <w:rPr>
          <w:rFonts w:ascii="Segoe UI Semilight" w:cs="Segoe UI Semilight" w:eastAsia="Segoe UI Semilight" w:hAnsi="Segoe UI Semilight"/>
        </w:rPr>
        <w:t xml:space="preserve">Sistema de Gestión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Código: </w:t>
      </w:r>
      <w:r>
        <w:rPr>
          <w:rFonts w:ascii="Segoe UI Semilight" w:cs="Segoe UI Semilight" w:eastAsia="Segoe UI Semilight" w:hAnsi="Segoe UI Semilight"/>
        </w:rPr>
        <w:t xml:space="preserve">BP001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Archivo: </w:t>
      </w:r>
      <w:r>
        <w:rPr>
          <w:rFonts w:ascii="Segoe UI Semilight" w:cs="Segoe UI Semilight" w:eastAsia="Segoe UI Semilight" w:hAnsi="Segoe UI Semilight"/>
        </w:rPr>
        <w:t xml:space="preserve"/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DESCRIPCIÓN DEL CASO DE USO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Nombre: </w:t>
      </w:r>
      <w:r>
        <w:rPr>
          <w:rFonts w:ascii="Segoe UI Semilight" w:cs="Segoe UI Semilight" w:eastAsia="Segoe UI Semilight" w:hAnsi="Segoe UI Semilight"/>
        </w:rPr>
        <w:t xml:space="preserve">BP001-Gestionar Información Cliente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Tipo: </w:t>
      </w:r>
      <w:r>
        <w:rPr>
          <w:rFonts w:ascii="Segoe UI Semilight" w:cs="Segoe UI Semilight" w:eastAsia="Segoe UI Semilight" w:hAnsi="Segoe UI Semilight"/>
        </w:rPr>
        <w:t xml:space="preserve">Gestión de Entidades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Descripción: </w:t>
      </w:r>
      <w:r>
        <w:rPr>
          <w:rFonts w:ascii="Segoe UI Semilight" w:cs="Segoe UI Semilight" w:eastAsia="Segoe UI Semilight" w:hAnsi="Segoe UI Semilight"/>
        </w:rPr>
        <w:t xml:space="preserve">Caso de uso de prueba para verificar el footer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FLUJO PRINCIPAL DE EVENTOS</w:t>
      </w:r>
    </w:p>
    <w:p>
      <w:pPr>
        <w:spacing w:after="80"/>
      </w:pPr>
      <w:r>
        <w:rPr>
          <w:rFonts w:ascii="Segoe UI Semilight" w:cs="Segoe UI Semilight" w:eastAsia="Segoe UI Semilight" w:hAnsi="Segoe UI Semilight"/>
          <w:b/>
          <w:bCs/>
        </w:rPr>
        <w:t xml:space="preserve">1. Buscar datos de la entidad</w:t>
      </w:r>
    </w:p>
    <w:p>
      <w:pPr>
        <w:spacing w:after="80" w:before="80"/>
      </w:pPr>
      <w:r>
        <w:rPr>
          <w:rFonts w:ascii="Segoe UI Semilight" w:cs="Segoe UI Semilight" w:eastAsia="Segoe UI Semilight" w:hAnsi="Segoe UI Semilight"/>
          <w:b/>
          <w:bCs/>
        </w:rPr>
        <w:t xml:space="preserve">2. Agregar una nueva entidad</w:t>
      </w:r>
    </w:p>
    <w:p>
      <w:pPr>
        <w:spacing w:after="60"/>
        <w:ind w:left="288"/>
      </w:pPr>
      <w:r>
        <w:rPr>
          <w:rFonts w:ascii="Segoe UI Semilight" w:cs="Segoe UI Semilight" w:eastAsia="Segoe UI Semilight" w:hAnsi="Segoe UI Semilight"/>
        </w:rPr>
        <w:t xml:space="preserve">a. Datos de la entidad: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i. ID (número, 10, obligatorio)</w:t>
      </w:r>
    </w:p>
    <w:p>
      <w:pPr>
        <w:spacing w:after="120" w:before="60"/>
        <w:ind w:left="288"/>
      </w:pPr>
      <w:r>
        <w:rPr>
          <w:rFonts w:ascii="Segoe UI Semilight" w:cs="Segoe UI Semilight" w:eastAsia="Segoe UI Semilight" w:hAnsi="Segoe UI Semilight"/>
        </w:rPr>
        <w:t xml:space="preserve">b. Al agregar se registra automáticamente la fecha y usuario de alta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FLUJOS ALTERNATIVOS</w:t>
      </w:r>
    </w:p>
    <w:p>
      <w:pPr>
        <w:spacing w:after="80"/>
      </w:pPr>
      <w:r>
        <w:rPr>
          <w:rFonts w:ascii="Segoe UI Semilight" w:cs="Segoe UI Semilight" w:eastAsia="Segoe UI Semilight" w:hAnsi="Segoe UI Semilight"/>
          <w:b/>
          <w:bCs/>
        </w:rPr>
        <w:t xml:space="preserve">1. Modificar o actualizar una entidad</w:t>
      </w:r>
    </w:p>
    <w:p>
      <w:pPr>
        <w:spacing w:after="60"/>
        <w:ind w:left="288"/>
      </w:pPr>
      <w:r>
        <w:rPr>
          <w:rFonts w:ascii="Segoe UI Semilight" w:cs="Segoe UI Semilight" w:eastAsia="Segoe UI Semilight" w:hAnsi="Segoe UI Semilight"/>
        </w:rPr>
        <w:t xml:space="preserve">a. Datos de la entidad a modificar: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i. ID (número, 10, obligatorio)</w:t>
      </w:r>
    </w:p>
    <w:p>
      <w:pPr>
        <w:spacing w:after="60" w:before="60"/>
        <w:ind w:left="288"/>
      </w:pPr>
      <w:r>
        <w:rPr>
          <w:rFonts w:ascii="Segoe UI Semilight" w:cs="Segoe UI Semilight" w:eastAsia="Segoe UI Semilight" w:hAnsi="Segoe UI Semilight"/>
        </w:rPr>
        <w:t xml:space="preserve">b. Mostrar el identificador único de la entidad</w:t>
      </w:r>
    </w:p>
    <w:p>
      <w:pPr>
        <w:spacing w:after="60"/>
        <w:ind w:left="288"/>
      </w:pPr>
      <w:r>
        <w:rPr>
          <w:rFonts w:ascii="Segoe UI Semilight" w:cs="Segoe UI Semilight" w:eastAsia="Segoe UI Semilight" w:hAnsi="Segoe UI Semilight"/>
        </w:rPr>
        <w:t xml:space="preserve">c. Mostrar la fecha y el usuario de alta originales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d. Al modificar se registra automáticamente la fecha y usuario de modificación</w:t>
      </w:r>
    </w:p>
    <w:p>
      <w:pPr>
        <w:spacing w:after="80" w:before="80"/>
      </w:pPr>
      <w:r>
        <w:rPr>
          <w:rFonts w:ascii="Segoe UI Semilight" w:cs="Segoe UI Semilight" w:eastAsia="Segoe UI Semilight" w:hAnsi="Segoe UI Semilight"/>
          <w:b/>
          <w:bCs/>
        </w:rPr>
        <w:t xml:space="preserve">2. Eliminar una entidad</w:t>
      </w:r>
    </w:p>
    <w:p>
      <w:pPr>
        <w:spacing w:after="120"/>
        <w:ind w:left="288"/>
      </w:pPr>
      <w:r>
        <w:rPr>
          <w:rFonts w:ascii="Segoe UI Semilight" w:cs="Segoe UI Semilight" w:eastAsia="Segoe UI Semilight" w:hAnsi="Segoe UI Semilight"/>
        </w:rPr>
        <w:t xml:space="preserve">a. Verificar que la entidad no tenga relaciones con otras entidades antes de eliminar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REGLAS DE NEGOCIO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Regla 1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REQUERIMIENTOS ESPECIALES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Requisito 1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PRECONDICIONES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Usuario autenticado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POSTCONDICIONES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Datos guardados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HISTORIA DE REVISIONES Y APROBACIONES</w:t>
      </w:r>
    </w:p>
    <w:tbl>
      <w:tblPr>
        <w:tblW w:type="dxa" w:w="9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72"/>
          <w:left w:type="dxa" w:w="72"/>
          <w:bottom w:type="dxa" w:w="72"/>
          <w:right w:type="dxa" w:w="72"/>
        </w:tblCellMar>
      </w:tblPr>
      <w:tblGrid>
        <w:gridCol w:w="100"/>
        <w:gridCol w:w="100"/>
        <w:gridCol w:w="100"/>
        <w:gridCol w:w="100"/>
      </w:tblGrid>
      <w:tr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Fecha</w:t>
            </w:r>
          </w:p>
        </w:tc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Acción</w:t>
            </w:r>
          </w:p>
        </w:tc>
        <w:tc>
          <w:tcPr>
            <w:tcW w:type="dxa" w:w="2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Responsable</w:t>
            </w:r>
          </w:p>
        </w:tc>
        <w:tc>
          <w:tcPr>
            <w:tcW w:type="dxa" w:w="4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Comentario</w:t>
            </w:r>
          </w:p>
        </w:tc>
      </w:tr>
      <w:tr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2/8/2025</w:t>
            </w:r>
          </w:p>
        </w:tc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Creación</w:t>
            </w:r>
          </w:p>
        </w:tc>
        <w:tc>
          <w:tcPr>
            <w:tcW w:type="dxa" w:w="2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Sistema</w:t>
            </w:r>
          </w:p>
        </w:tc>
        <w:tc>
          <w:tcPr>
            <w:tcW w:type="dxa" w:w="4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Versión original</w:t>
            </w:r>
          </w:p>
        </w:tc>
      </w:tr>
    </w:tbl>
    <w:p>
      <w:pPr>
        <w:spacing w:after="240"/>
      </w:pP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360"/>
      </w:tabs>
    </w:pPr>
    <w:r>
      <w:rPr>
        <w:rFonts w:ascii="Segoe UI Semilight" w:cs="Segoe UI Semilight" w:eastAsia="Segoe UI Semilight" w:hAnsi="Segoe UI Semilight"/>
        <w:sz w:val="18"/>
        <w:szCs w:val="18"/>
      </w:rPr>
      <w:t xml:space="preserve">página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PAGE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 de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	</w:t>
    </w:r>
    <w:r>
      <w:rPr>
        <w:rFonts w:ascii="Segoe UI Semilight" w:cs="Segoe UI Semilight" w:eastAsia="Segoe UI Semilight" w:hAnsi="Segoe UI Semilight"/>
        <w:sz w:val="18"/>
        <w:szCs w:val="18"/>
      </w:rPr>
      <w:t xml:space="preserve">BP001-Gestionar Información Cliente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5715000" cy="9525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ad3294c04922c6c2c960cca15592297cfb47f1c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2025-08-02T05:50:36.747Z</dcterms:created>
  <dcterms:modified xsi:type="dcterms:W3CDTF">2025-08-02T05:50:36.747Z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