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453B6" w14:textId="77777777" w:rsidR="00390B0E" w:rsidRDefault="00390B0E">
      <w:pPr>
        <w:spacing w:before="2000"/>
      </w:pPr>
    </w:p>
    <w:p w14:paraId="734C3F50" w14:textId="77777777" w:rsidR="00390B0E" w:rsidRDefault="00000000">
      <w:pPr>
        <w:spacing w:after="200"/>
        <w:jc w:val="center"/>
      </w:pPr>
      <w:r>
        <w:rPr>
          <w:b/>
          <w:bCs/>
          <w:sz w:val="36"/>
          <w:szCs w:val="36"/>
        </w:rPr>
        <w:t>INFORME DE EVALUACIÓN ACADÉMICA</w:t>
      </w:r>
    </w:p>
    <w:p w14:paraId="4F25C3DE" w14:textId="77777777" w:rsidR="00390B0E" w:rsidRDefault="00000000">
      <w:pPr>
        <w:spacing w:after="100"/>
        <w:jc w:val="center"/>
      </w:pPr>
      <w:r>
        <w:rPr>
          <w:b/>
          <w:bCs/>
          <w:sz w:val="28"/>
          <w:szCs w:val="28"/>
        </w:rPr>
        <w:t>Dictamen evaluador sobre Trabajo Integrador de Tecnicatura</w:t>
      </w:r>
    </w:p>
    <w:p w14:paraId="76D7F363" w14:textId="77777777" w:rsidR="00390B0E" w:rsidRDefault="00390B0E">
      <w:pPr>
        <w:pBdr>
          <w:bottom w:val="single" w:sz="6" w:space="0" w:color="888888"/>
        </w:pBdr>
        <w:spacing w:before="100" w:after="100"/>
      </w:pPr>
    </w:p>
    <w:p w14:paraId="55A111B4" w14:textId="77777777" w:rsidR="00390B0E" w:rsidRDefault="00390B0E">
      <w:pPr>
        <w:spacing w:after="400"/>
      </w:pPr>
    </w:p>
    <w:p w14:paraId="1F31003B" w14:textId="77777777" w:rsidR="00390B0E" w:rsidRDefault="00000000">
      <w:pPr>
        <w:spacing w:after="80"/>
        <w:jc w:val="center"/>
      </w:pPr>
      <w:r>
        <w:rPr>
          <w:b/>
          <w:bCs/>
          <w:sz w:val="24"/>
          <w:szCs w:val="24"/>
        </w:rPr>
        <w:t>Trabajo evaluado:</w:t>
      </w:r>
    </w:p>
    <w:p w14:paraId="35E2A91B" w14:textId="77777777" w:rsidR="00390B0E" w:rsidRDefault="00000000">
      <w:pPr>
        <w:spacing w:after="80"/>
        <w:jc w:val="center"/>
      </w:pPr>
      <w:r>
        <w:rPr>
          <w:i/>
          <w:iCs/>
          <w:sz w:val="24"/>
          <w:szCs w:val="24"/>
        </w:rPr>
        <w:t xml:space="preserve">"Automatización del ciclo </w:t>
      </w:r>
      <w:proofErr w:type="spellStart"/>
      <w:r>
        <w:rPr>
          <w:i/>
          <w:iCs/>
          <w:sz w:val="24"/>
          <w:szCs w:val="24"/>
        </w:rPr>
        <w:t>post-venta</w:t>
      </w:r>
      <w:proofErr w:type="spellEnd"/>
      <w:r>
        <w:rPr>
          <w:i/>
          <w:iCs/>
          <w:sz w:val="24"/>
          <w:szCs w:val="24"/>
        </w:rPr>
        <w:t xml:space="preserve"> en e-</w:t>
      </w:r>
      <w:proofErr w:type="spellStart"/>
      <w:r>
        <w:rPr>
          <w:i/>
          <w:iCs/>
          <w:sz w:val="24"/>
          <w:szCs w:val="24"/>
        </w:rPr>
        <w:t>commerce</w:t>
      </w:r>
      <w:proofErr w:type="spellEnd"/>
      <w:r>
        <w:rPr>
          <w:i/>
          <w:iCs/>
          <w:sz w:val="24"/>
          <w:szCs w:val="24"/>
        </w:rPr>
        <w:t>: pipeline de procesamiento</w:t>
      </w:r>
    </w:p>
    <w:p w14:paraId="537E4A32" w14:textId="77777777" w:rsidR="00390B0E" w:rsidRDefault="00000000">
      <w:pPr>
        <w:spacing w:after="200"/>
        <w:jc w:val="center"/>
      </w:pPr>
      <w:r>
        <w:rPr>
          <w:i/>
          <w:iCs/>
          <w:sz w:val="24"/>
          <w:szCs w:val="24"/>
        </w:rPr>
        <w:t>de órdenes y atención al cliente con IA, implementado con n8n"</w:t>
      </w:r>
    </w:p>
    <w:p w14:paraId="2EF154C1" w14:textId="77777777" w:rsidR="00390B0E" w:rsidRDefault="00000000">
      <w:pPr>
        <w:spacing w:after="80"/>
        <w:jc w:val="center"/>
      </w:pPr>
      <w:r>
        <w:rPr>
          <w:sz w:val="24"/>
          <w:szCs w:val="24"/>
        </w:rPr>
        <w:t xml:space="preserve">Autores: Santiago Sordi, Ignacio </w:t>
      </w:r>
      <w:proofErr w:type="spellStart"/>
      <w:r>
        <w:rPr>
          <w:sz w:val="24"/>
          <w:szCs w:val="24"/>
        </w:rPr>
        <w:t>Odorico</w:t>
      </w:r>
      <w:proofErr w:type="spellEnd"/>
      <w:r>
        <w:rPr>
          <w:sz w:val="24"/>
          <w:szCs w:val="24"/>
        </w:rPr>
        <w:t>, Juan Cruz Ana</w:t>
      </w:r>
    </w:p>
    <w:p w14:paraId="7B4D3BDD" w14:textId="77777777" w:rsidR="00390B0E" w:rsidRDefault="00000000">
      <w:pPr>
        <w:spacing w:after="80"/>
        <w:jc w:val="center"/>
      </w:pPr>
      <w:r>
        <w:rPr>
          <w:sz w:val="24"/>
          <w:szCs w:val="24"/>
        </w:rPr>
        <w:t>Director: Alberto Cortez</w:t>
      </w:r>
    </w:p>
    <w:p w14:paraId="5CFE7FA0" w14:textId="77777777" w:rsidR="00390B0E" w:rsidRDefault="00000000">
      <w:pPr>
        <w:spacing w:after="80"/>
        <w:jc w:val="center"/>
      </w:pPr>
      <w:r>
        <w:rPr>
          <w:sz w:val="24"/>
          <w:szCs w:val="24"/>
        </w:rPr>
        <w:t>Institución: Universidad Tecnológica Nacional — Facultad Regional Mendoza</w:t>
      </w:r>
    </w:p>
    <w:p w14:paraId="2A72FE29" w14:textId="77777777" w:rsidR="00390B0E" w:rsidRDefault="00000000">
      <w:pPr>
        <w:spacing w:after="80"/>
        <w:jc w:val="center"/>
      </w:pPr>
      <w:r>
        <w:rPr>
          <w:sz w:val="24"/>
          <w:szCs w:val="24"/>
        </w:rPr>
        <w:t>Carrera: Tecnicatura Universitaria en Programación</w:t>
      </w:r>
    </w:p>
    <w:p w14:paraId="188D26FD" w14:textId="77777777" w:rsidR="00390B0E" w:rsidRDefault="00000000">
      <w:pPr>
        <w:spacing w:after="400"/>
        <w:jc w:val="center"/>
      </w:pPr>
      <w:r>
        <w:rPr>
          <w:sz w:val="24"/>
          <w:szCs w:val="24"/>
        </w:rPr>
        <w:t>Año: 2026</w:t>
      </w:r>
    </w:p>
    <w:p w14:paraId="7A1D854F" w14:textId="77777777" w:rsidR="00390B0E" w:rsidRDefault="00390B0E">
      <w:pPr>
        <w:pBdr>
          <w:bottom w:val="single" w:sz="6" w:space="0" w:color="888888"/>
        </w:pBdr>
        <w:spacing w:before="100" w:after="100"/>
      </w:pPr>
    </w:p>
    <w:p w14:paraId="599019E4" w14:textId="77777777" w:rsidR="00390B0E" w:rsidRDefault="00000000">
      <w:pPr>
        <w:spacing w:before="200" w:after="80"/>
        <w:jc w:val="center"/>
      </w:pPr>
      <w:r>
        <w:rPr>
          <w:i/>
          <w:iCs/>
          <w:sz w:val="22"/>
          <w:szCs w:val="22"/>
        </w:rPr>
        <w:t>Criterios de evaluación aplicados conforme a estándares</w:t>
      </w:r>
    </w:p>
    <w:p w14:paraId="083E12C7" w14:textId="77777777" w:rsidR="00390B0E" w:rsidRDefault="00000000">
      <w:pPr>
        <w:spacing w:after="80"/>
        <w:jc w:val="center"/>
      </w:pPr>
      <w:r>
        <w:rPr>
          <w:i/>
          <w:iCs/>
          <w:sz w:val="22"/>
          <w:szCs w:val="22"/>
        </w:rPr>
        <w:t>de calidad académica universitaria argentina (nivel CONEAU)</w:t>
      </w:r>
    </w:p>
    <w:p w14:paraId="506312B1" w14:textId="77777777" w:rsidR="00390B0E" w:rsidRDefault="00000000">
      <w:pPr>
        <w:spacing w:after="80"/>
        <w:jc w:val="center"/>
      </w:pPr>
      <w:r>
        <w:rPr>
          <w:i/>
          <w:iCs/>
          <w:sz w:val="22"/>
          <w:szCs w:val="22"/>
        </w:rPr>
        <w:t>Agosto de 2026</w:t>
      </w:r>
    </w:p>
    <w:p w14:paraId="03D0E533" w14:textId="77777777" w:rsidR="00390B0E" w:rsidRDefault="00000000">
      <w:r>
        <w:br w:type="page"/>
      </w:r>
    </w:p>
    <w:p w14:paraId="7FF58148" w14:textId="77777777" w:rsidR="00390B0E" w:rsidRDefault="00000000">
      <w:pPr>
        <w:pStyle w:val="Ttulo1"/>
        <w:spacing w:before="300" w:after="150"/>
      </w:pPr>
      <w:r>
        <w:rPr>
          <w:b/>
          <w:bCs/>
        </w:rPr>
        <w:lastRenderedPageBreak/>
        <w:t>1. VEREDICTO GENERAL</w:t>
      </w:r>
    </w:p>
    <w:p w14:paraId="086DAA5C" w14:textId="77777777" w:rsidR="00390B0E" w:rsidRDefault="00000000">
      <w:pPr>
        <w:spacing w:after="120" w:line="360" w:lineRule="auto"/>
        <w:jc w:val="both"/>
      </w:pPr>
      <w:r>
        <w:rPr>
          <w:b/>
          <w:bCs/>
          <w:sz w:val="24"/>
          <w:szCs w:val="24"/>
        </w:rPr>
        <w:t>Veredicto: APROBADO CON OBSERVACIONES MENORES.</w:t>
      </w:r>
    </w:p>
    <w:p w14:paraId="722D40FE" w14:textId="77777777" w:rsidR="00390B0E" w:rsidRDefault="00000000">
      <w:pPr>
        <w:spacing w:after="120" w:line="360" w:lineRule="auto"/>
        <w:ind w:firstLine="720"/>
        <w:jc w:val="both"/>
      </w:pPr>
      <w:r>
        <w:rPr>
          <w:sz w:val="24"/>
          <w:szCs w:val="24"/>
        </w:rPr>
        <w:t xml:space="preserve">El trabajo integrador titulado </w:t>
      </w:r>
      <w:r>
        <w:rPr>
          <w:i/>
          <w:iCs/>
          <w:sz w:val="24"/>
          <w:szCs w:val="24"/>
        </w:rPr>
        <w:t xml:space="preserve">"Automatización del ciclo </w:t>
      </w:r>
      <w:proofErr w:type="spellStart"/>
      <w:r>
        <w:rPr>
          <w:i/>
          <w:iCs/>
          <w:sz w:val="24"/>
          <w:szCs w:val="24"/>
        </w:rPr>
        <w:t>post-venta</w:t>
      </w:r>
      <w:proofErr w:type="spellEnd"/>
      <w:r>
        <w:rPr>
          <w:i/>
          <w:iCs/>
          <w:sz w:val="24"/>
          <w:szCs w:val="24"/>
        </w:rPr>
        <w:t xml:space="preserve"> en e-</w:t>
      </w:r>
      <w:proofErr w:type="spellStart"/>
      <w:r>
        <w:rPr>
          <w:i/>
          <w:iCs/>
          <w:sz w:val="24"/>
          <w:szCs w:val="24"/>
        </w:rPr>
        <w:t>commerce</w:t>
      </w:r>
      <w:proofErr w:type="spellEnd"/>
      <w:r>
        <w:rPr>
          <w:i/>
          <w:iCs/>
          <w:sz w:val="24"/>
          <w:szCs w:val="24"/>
        </w:rPr>
        <w:t>: pipeline de procesamiento de órdenes y atención al cliente con IA, implementado con n8n"</w:t>
      </w:r>
      <w:r>
        <w:rPr>
          <w:sz w:val="24"/>
          <w:szCs w:val="24"/>
        </w:rPr>
        <w:t xml:space="preserve"> constituye un esfuerzo académico de calidad notablemente superior al promedio esperable para una Tecnicatura Universitaria en Programación. El documento exhibe una madurez metodológica, una honestidad intelectual y un rigor en el tratamiento de datos que, en varios aspectos, se aproxima al nivel exigible a un trabajo de ingeniería de grado. Los autores demuestran dominio técnico del </w:t>
      </w:r>
      <w:proofErr w:type="spellStart"/>
      <w:r>
        <w:rPr>
          <w:sz w:val="24"/>
          <w:szCs w:val="24"/>
        </w:rPr>
        <w:t>stack</w:t>
      </w:r>
      <w:proofErr w:type="spellEnd"/>
      <w:r>
        <w:rPr>
          <w:sz w:val="24"/>
          <w:szCs w:val="24"/>
        </w:rPr>
        <w:t xml:space="preserve"> tecnológico empleado, capacidad de articular componentes heterogéneos en un sistema funcional, y —lo que resulta particularmente meritorio— una disposición sostenida a declarar las limitaciones de su propio trabajo antes que a ocultarlas.</w:t>
      </w:r>
    </w:p>
    <w:p w14:paraId="4D234B9B" w14:textId="77777777" w:rsidR="00390B0E" w:rsidRDefault="00000000">
      <w:pPr>
        <w:spacing w:after="120" w:line="360" w:lineRule="auto"/>
        <w:ind w:firstLine="720"/>
        <w:jc w:val="both"/>
      </w:pPr>
      <w:r>
        <w:rPr>
          <w:sz w:val="24"/>
          <w:szCs w:val="24"/>
        </w:rPr>
        <w:t>Las observaciones que se consignan a continuación no comprometen la aprobación del trabajo; señalan aspectos perfectibles que, de ser atendidos, elevarían aún más la calidad del documento sin alterar sus conclusiones sustantivas.</w:t>
      </w:r>
    </w:p>
    <w:p w14:paraId="5E18528C" w14:textId="77777777" w:rsidR="00390B0E" w:rsidRDefault="00000000">
      <w:pPr>
        <w:pStyle w:val="Ttulo1"/>
        <w:spacing w:before="300" w:after="150"/>
      </w:pPr>
      <w:r>
        <w:rPr>
          <w:b/>
          <w:bCs/>
        </w:rPr>
        <w:t>2. ESTRUCTURA GENERAL DEL DOCUMENTO</w:t>
      </w:r>
    </w:p>
    <w:p w14:paraId="6623AB82" w14:textId="77777777" w:rsidR="00390B0E" w:rsidRDefault="00000000">
      <w:pPr>
        <w:spacing w:after="120" w:line="360" w:lineRule="auto"/>
        <w:ind w:firstLine="720"/>
        <w:jc w:val="both"/>
      </w:pPr>
      <w:r>
        <w:rPr>
          <w:b/>
          <w:bCs/>
          <w:sz w:val="24"/>
          <w:szCs w:val="24"/>
        </w:rPr>
        <w:t>Cumple con los estándares académicos.</w:t>
      </w:r>
      <w:r>
        <w:rPr>
          <w:sz w:val="24"/>
          <w:szCs w:val="24"/>
        </w:rPr>
        <w:t xml:space="preserve"> La organización del documento sigue la estructura canónica de un trabajo de investigación aplicada: portada, resumen con palabras clave, índice detallado, introducción (contexto, problema, justificación, hipótesis, objetivos, alcance), marco teórico, marco metodológico, desarrollo, resultados, conclusiones, recomendaciones, referencias bibliográficas y anexos. Esta secuencia es coherente con las convenciones aceptadas en las universidades del sistema argentino y con los lineamientos que la CONEAU evalúa en procesos de acreditación de carreras técnicas.</w:t>
      </w:r>
    </w:p>
    <w:p w14:paraId="01779497" w14:textId="77777777" w:rsidR="00390B0E" w:rsidRDefault="00000000">
      <w:pPr>
        <w:spacing w:after="120" w:line="360" w:lineRule="auto"/>
        <w:ind w:firstLine="720"/>
        <w:jc w:val="both"/>
      </w:pPr>
      <w:r>
        <w:rPr>
          <w:sz w:val="24"/>
          <w:szCs w:val="24"/>
        </w:rPr>
        <w:t>La inclusión de un listado de figuras, un listado de tablas principales y un glosario de siglas al inicio del documento denota un cuidado formal que facilita la lectura y la consulta del trabajo como referencia técnica. Los nueve capítulos y diez anexos están correctamente numerados y referenciados internamente, con remisiones cruzadas que permiten al lector localizar las evidencias que sustentan cada afirmación.</w:t>
      </w:r>
    </w:p>
    <w:p w14:paraId="638C09B8" w14:textId="77777777" w:rsidR="00390B0E" w:rsidRDefault="00000000">
      <w:pPr>
        <w:spacing w:after="120" w:line="360" w:lineRule="auto"/>
        <w:ind w:firstLine="720"/>
        <w:jc w:val="both"/>
      </w:pPr>
      <w:r>
        <w:rPr>
          <w:b/>
          <w:bCs/>
          <w:sz w:val="24"/>
          <w:szCs w:val="24"/>
        </w:rPr>
        <w:t xml:space="preserve">Fortaleza destacable: </w:t>
      </w:r>
      <w:r>
        <w:rPr>
          <w:sz w:val="24"/>
          <w:szCs w:val="24"/>
        </w:rPr>
        <w:t xml:space="preserve">La coherencia interna del documento es notable. Las hipótesis formuladas en el Capítulo 1 se retoman explícitamente en la contrastación del Capítulo 5 y en las conclusiones del Capítulo 6, con una trazabilidad que permite verificar que cada objetivo </w:t>
      </w:r>
      <w:r>
        <w:rPr>
          <w:sz w:val="24"/>
          <w:szCs w:val="24"/>
        </w:rPr>
        <w:lastRenderedPageBreak/>
        <w:t>específico tiene su correspondiente evidencia empírica. El hilo conductor —desde el planteamiento del problema hasta la respuesta a la pregunta de investigación— no se interrumpe ni se desvía.</w:t>
      </w:r>
    </w:p>
    <w:p w14:paraId="0E5DBFC6" w14:textId="77777777" w:rsidR="00390B0E" w:rsidRDefault="00000000">
      <w:pPr>
        <w:spacing w:after="120" w:line="360" w:lineRule="auto"/>
        <w:ind w:firstLine="720"/>
        <w:jc w:val="both"/>
      </w:pPr>
      <w:r>
        <w:rPr>
          <w:b/>
          <w:bCs/>
          <w:sz w:val="24"/>
          <w:szCs w:val="24"/>
        </w:rPr>
        <w:t xml:space="preserve">Observación menor: </w:t>
      </w:r>
      <w:r>
        <w:rPr>
          <w:sz w:val="24"/>
          <w:szCs w:val="24"/>
        </w:rPr>
        <w:t>El índice automático del documento presenta una entrada vacía ("[27](#section)") correspondiente a la sección 4.2.2 del diagrama entidad-relación, lo que sugiere un marcador de sección mal configurado en el procesador de texto. Se recomienda revisar los estilos de encabezado para eliminar entradas huérfanas del índice automático. Asimismo, la numeración del Capítulo 4 alterna entre "CAPÍTULO 4" y "Capítulo 4" en la capitalización del encabezado, inconsistencia tipográfica menor que convendría uniformar.</w:t>
      </w:r>
    </w:p>
    <w:p w14:paraId="3D92CB66" w14:textId="77777777" w:rsidR="00390B0E" w:rsidRDefault="00000000">
      <w:pPr>
        <w:pStyle w:val="Ttulo1"/>
        <w:spacing w:before="300" w:after="150"/>
      </w:pPr>
      <w:r>
        <w:rPr>
          <w:b/>
          <w:bCs/>
        </w:rPr>
        <w:t>3. CLARIDAD Y FORMULACIÓN DE LA HIPÓTESIS</w:t>
      </w:r>
    </w:p>
    <w:p w14:paraId="4391D1EF" w14:textId="77777777" w:rsidR="00390B0E" w:rsidRDefault="00000000">
      <w:pPr>
        <w:spacing w:after="120" w:line="360" w:lineRule="auto"/>
        <w:jc w:val="both"/>
      </w:pPr>
      <w:r>
        <w:rPr>
          <w:b/>
          <w:bCs/>
          <w:sz w:val="24"/>
          <w:szCs w:val="24"/>
        </w:rPr>
        <w:t>Cumple con los estándares académicos. Presenta un tratamiento epistemológico inusualmente riguroso para el nivel.</w:t>
      </w:r>
    </w:p>
    <w:p w14:paraId="4C2F9B69" w14:textId="77777777" w:rsidR="00390B0E" w:rsidRDefault="00000000">
      <w:pPr>
        <w:spacing w:after="120" w:line="360" w:lineRule="auto"/>
        <w:ind w:firstLine="720"/>
        <w:jc w:val="both"/>
      </w:pPr>
      <w:r>
        <w:rPr>
          <w:sz w:val="24"/>
          <w:szCs w:val="24"/>
        </w:rPr>
        <w:t xml:space="preserve">El trabajo formula tres hipótesis operativas (H1, H2a, H2b), cada una con un criterio de aceptación cuantitativo explícito y un método de contraste definido de antemano. H1 establece que el pipeline automatizado reduce significativamente el tiempo </w:t>
      </w:r>
      <w:proofErr w:type="spellStart"/>
      <w:r>
        <w:rPr>
          <w:sz w:val="24"/>
          <w:szCs w:val="24"/>
        </w:rPr>
        <w:t>end-to-end</w:t>
      </w:r>
      <w:proofErr w:type="spellEnd"/>
      <w:r>
        <w:rPr>
          <w:sz w:val="24"/>
          <w:szCs w:val="24"/>
        </w:rPr>
        <w:t xml:space="preserve"> respecto del proceso manual, con un criterio operativo secundario de 30 segundos. H2a fija un TMR inferior a 10 segundos. H2b exige una precisión de clasificación igual o superior al 85%. Las tres son comprobables, medibles y delimitadas.</w:t>
      </w:r>
    </w:p>
    <w:p w14:paraId="5969DFF6" w14:textId="77777777" w:rsidR="00390B0E" w:rsidRDefault="00000000">
      <w:pPr>
        <w:spacing w:after="120" w:line="360" w:lineRule="auto"/>
        <w:ind w:firstLine="720"/>
        <w:jc w:val="both"/>
      </w:pPr>
      <w:r>
        <w:rPr>
          <w:b/>
          <w:bCs/>
          <w:sz w:val="24"/>
          <w:szCs w:val="24"/>
        </w:rPr>
        <w:t xml:space="preserve">Fortaleza excepcional: </w:t>
      </w:r>
      <w:r>
        <w:rPr>
          <w:sz w:val="24"/>
          <w:szCs w:val="24"/>
        </w:rPr>
        <w:t xml:space="preserve">Los autores realizan una precisión epistemológica poco habitual en trabajos de este nivel: reconocen explícitamente que los umbrales de 30 y 10 segundos "operan como criterios de aceptación fijados por el equipo y no constituyen, por sí mismos, afirmaciones falsables", y que era previsible que ambos se cumplieran dado el diseño del sistema. Esta autocrítica anticipada, lejos de debilitar el trabajo, lo fortalece: distingue con claridad entre las afirmaciones sustantivas (la comparación contra el </w:t>
      </w:r>
      <w:proofErr w:type="spellStart"/>
      <w:r>
        <w:rPr>
          <w:sz w:val="24"/>
          <w:szCs w:val="24"/>
        </w:rPr>
        <w:t>baseline</w:t>
      </w:r>
      <w:proofErr w:type="spellEnd"/>
      <w:r>
        <w:rPr>
          <w:sz w:val="24"/>
          <w:szCs w:val="24"/>
        </w:rPr>
        <w:t xml:space="preserve"> manual) y los criterios operativos secundarios, lo que evidencia una comprensión genuina de la lógica hipotético-deductiva que no siempre se observa en trabajos de nivel superior.</w:t>
      </w:r>
    </w:p>
    <w:p w14:paraId="4DC1D1E2" w14:textId="77777777" w:rsidR="00390B0E" w:rsidRDefault="00000000">
      <w:pPr>
        <w:spacing w:after="120" w:line="360" w:lineRule="auto"/>
        <w:ind w:firstLine="720"/>
        <w:jc w:val="both"/>
      </w:pPr>
      <w:r>
        <w:rPr>
          <w:b/>
          <w:bCs/>
          <w:sz w:val="24"/>
          <w:szCs w:val="24"/>
        </w:rPr>
        <w:t xml:space="preserve">Observación: </w:t>
      </w:r>
      <w:r>
        <w:rPr>
          <w:sz w:val="24"/>
          <w:szCs w:val="24"/>
        </w:rPr>
        <w:t xml:space="preserve">El umbral del 85% para H2b se presenta como un "criterio del equipo" sin derivar de un estándar publicado ni de un requerimiento de negocio externo. Los autores son transparentes al respecto y ofrecen justificación contextual (prototipo académico, dominio acotado, cuatro categorías), lo cual resulta aceptable para el nivel de la carrera. Sin embargo, habría sido deseable que se discutiera brevemente por qué se eligió 85% y no otro valor —por </w:t>
      </w:r>
      <w:r>
        <w:rPr>
          <w:sz w:val="24"/>
          <w:szCs w:val="24"/>
        </w:rPr>
        <w:lastRenderedPageBreak/>
        <w:t xml:space="preserve">ejemplo, haciendo referencia a los </w:t>
      </w:r>
      <w:proofErr w:type="spellStart"/>
      <w:r>
        <w:rPr>
          <w:sz w:val="24"/>
          <w:szCs w:val="24"/>
        </w:rPr>
        <w:t>benchmarks</w:t>
      </w:r>
      <w:proofErr w:type="spellEnd"/>
      <w:r>
        <w:rPr>
          <w:sz w:val="24"/>
          <w:szCs w:val="24"/>
        </w:rPr>
        <w:t xml:space="preserve"> reportados por </w:t>
      </w:r>
      <w:proofErr w:type="spellStart"/>
      <w:r>
        <w:rPr>
          <w:sz w:val="24"/>
          <w:szCs w:val="24"/>
        </w:rPr>
        <w:t>Parikh</w:t>
      </w:r>
      <w:proofErr w:type="spellEnd"/>
      <w:r>
        <w:rPr>
          <w:sz w:val="24"/>
          <w:szCs w:val="24"/>
        </w:rPr>
        <w:t xml:space="preserve"> et al. (2023) sobre </w:t>
      </w:r>
      <w:proofErr w:type="spellStart"/>
      <w:r>
        <w:rPr>
          <w:sz w:val="24"/>
          <w:szCs w:val="24"/>
        </w:rPr>
        <w:t>datasets</w:t>
      </w:r>
      <w:proofErr w:type="spellEnd"/>
      <w:r>
        <w:rPr>
          <w:sz w:val="24"/>
          <w:szCs w:val="24"/>
        </w:rPr>
        <w:t xml:space="preserve"> comparables— para </w:t>
      </w:r>
      <w:proofErr w:type="spellStart"/>
      <w:r>
        <w:rPr>
          <w:sz w:val="24"/>
          <w:szCs w:val="24"/>
        </w:rPr>
        <w:t>anclar</w:t>
      </w:r>
      <w:proofErr w:type="spellEnd"/>
      <w:r>
        <w:rPr>
          <w:sz w:val="24"/>
          <w:szCs w:val="24"/>
        </w:rPr>
        <w:t xml:space="preserve"> la elección en la literatura revisada.</w:t>
      </w:r>
    </w:p>
    <w:p w14:paraId="1F9DAC10" w14:textId="77777777" w:rsidR="00390B0E" w:rsidRDefault="00000000">
      <w:pPr>
        <w:pStyle w:val="Ttulo1"/>
        <w:spacing w:before="300" w:after="150"/>
      </w:pPr>
      <w:r>
        <w:rPr>
          <w:b/>
          <w:bCs/>
        </w:rPr>
        <w:t>4. DEFINICIÓN Y COHERENCIA DE LOS OBJETIVOS</w:t>
      </w:r>
    </w:p>
    <w:p w14:paraId="7EDE96EF" w14:textId="77777777" w:rsidR="00390B0E" w:rsidRDefault="00000000">
      <w:pPr>
        <w:spacing w:after="120" w:line="360" w:lineRule="auto"/>
        <w:jc w:val="both"/>
      </w:pPr>
      <w:r>
        <w:rPr>
          <w:b/>
          <w:bCs/>
          <w:sz w:val="24"/>
          <w:szCs w:val="24"/>
        </w:rPr>
        <w:t>Cumple con los estándares académicos.</w:t>
      </w:r>
    </w:p>
    <w:p w14:paraId="3C5146B6" w14:textId="77777777" w:rsidR="00390B0E" w:rsidRDefault="00000000">
      <w:pPr>
        <w:spacing w:after="120" w:line="360" w:lineRule="auto"/>
        <w:ind w:firstLine="720"/>
        <w:jc w:val="both"/>
      </w:pPr>
      <w:r>
        <w:rPr>
          <w:sz w:val="24"/>
          <w:szCs w:val="24"/>
        </w:rPr>
        <w:t xml:space="preserve">El objetivo general está formulado con precisión: diseñar e implementar un pipeline automatizado y un </w:t>
      </w:r>
      <w:proofErr w:type="spellStart"/>
      <w:r>
        <w:rPr>
          <w:sz w:val="24"/>
          <w:szCs w:val="24"/>
        </w:rPr>
        <w:t>chatbot</w:t>
      </w:r>
      <w:proofErr w:type="spellEnd"/>
      <w:r>
        <w:rPr>
          <w:sz w:val="24"/>
          <w:szCs w:val="24"/>
        </w:rPr>
        <w:t xml:space="preserve">, orquestados con n8n y desplegados en Docker, midiendo su desempeño y contrastándolo con la hipótesis de reducción de tiempos. Los cinco objetivos específicos descomponen el general en entregables concretos y verificables: el pipeline (OE1), el </w:t>
      </w:r>
      <w:proofErr w:type="spellStart"/>
      <w:r>
        <w:rPr>
          <w:sz w:val="24"/>
          <w:szCs w:val="24"/>
        </w:rPr>
        <w:t>chatbot</w:t>
      </w:r>
      <w:proofErr w:type="spellEnd"/>
      <w:r>
        <w:rPr>
          <w:sz w:val="24"/>
          <w:szCs w:val="24"/>
        </w:rPr>
        <w:t xml:space="preserve"> (OE2), el esquema de base de datos (OE3), los </w:t>
      </w:r>
      <w:proofErr w:type="spellStart"/>
      <w:r>
        <w:rPr>
          <w:sz w:val="24"/>
          <w:szCs w:val="24"/>
        </w:rPr>
        <w:t>dashboards</w:t>
      </w:r>
      <w:proofErr w:type="spellEnd"/>
      <w:r>
        <w:rPr>
          <w:sz w:val="24"/>
          <w:szCs w:val="24"/>
        </w:rPr>
        <w:t xml:space="preserve"> (OE4) y la validación mediante pruebas (OE5). Cada uno tiene correspondencia directa con una sección del desarrollo y una entrada en la tabla de cumplimiento del Capítulo 6.</w:t>
      </w:r>
    </w:p>
    <w:p w14:paraId="15127F93" w14:textId="77777777" w:rsidR="00390B0E" w:rsidRDefault="00000000">
      <w:pPr>
        <w:spacing w:after="120" w:line="360" w:lineRule="auto"/>
        <w:ind w:firstLine="720"/>
        <w:jc w:val="both"/>
      </w:pPr>
      <w:r>
        <w:rPr>
          <w:b/>
          <w:bCs/>
          <w:sz w:val="24"/>
          <w:szCs w:val="24"/>
        </w:rPr>
        <w:t xml:space="preserve">Fortaleza: </w:t>
      </w:r>
      <w:r>
        <w:rPr>
          <w:sz w:val="24"/>
          <w:szCs w:val="24"/>
        </w:rPr>
        <w:t xml:space="preserve">Los objetivos específicos no son declarativos sino operacionalizados: incluyen la cantidad de nodos del </w:t>
      </w:r>
      <w:proofErr w:type="spellStart"/>
      <w:r>
        <w:rPr>
          <w:sz w:val="24"/>
          <w:szCs w:val="24"/>
        </w:rPr>
        <w:t>workflow</w:t>
      </w:r>
      <w:proofErr w:type="spellEnd"/>
      <w:r>
        <w:rPr>
          <w:sz w:val="24"/>
          <w:szCs w:val="24"/>
        </w:rPr>
        <w:t>, los canales a implementar, las métricas a registrar y los umbrales a verificar. Esto permite una evaluación objetiva de su cumplimiento, tal como los propios autores realizan en la Tabla 6.1, donde cada objetivo se confronta con el resultado obtenido y se le asigna un estado de cumplimiento. Resulta particularmente meritorio que los autores consignen que OE3 y OE4 se cumplieron por encima de lo comprometido (7 tablas y 6 vistas frente a las 5 y 5 previstas), lo que indica honestidad en el informe de resultados.</w:t>
      </w:r>
    </w:p>
    <w:p w14:paraId="01B4DA83" w14:textId="77777777" w:rsidR="00390B0E" w:rsidRDefault="00000000">
      <w:pPr>
        <w:spacing w:after="120" w:line="360" w:lineRule="auto"/>
        <w:ind w:firstLine="720"/>
        <w:jc w:val="both"/>
      </w:pPr>
      <w:r>
        <w:rPr>
          <w:b/>
          <w:bCs/>
          <w:sz w:val="24"/>
          <w:szCs w:val="24"/>
        </w:rPr>
        <w:t xml:space="preserve">Observación: </w:t>
      </w:r>
      <w:r>
        <w:rPr>
          <w:sz w:val="24"/>
          <w:szCs w:val="24"/>
        </w:rPr>
        <w:t>OE2 declara que la arquitectura "contempla tres canales" pero que "en esta etapa se implementaron y validaron dos". Si bien esta formulación es transparente, habría sido más preciso formular el objetivo en términos de lo efectivamente implementado y dejar la extensión a tres canales como línea futura desde el inicio, evitando que el lector deba reconciliar el enunciado del objetivo con su resultado parcial.</w:t>
      </w:r>
    </w:p>
    <w:p w14:paraId="122F783C" w14:textId="77777777" w:rsidR="00390B0E" w:rsidRDefault="00000000">
      <w:pPr>
        <w:pStyle w:val="Ttulo1"/>
        <w:spacing w:before="300" w:after="150"/>
      </w:pPr>
      <w:r>
        <w:rPr>
          <w:b/>
          <w:bCs/>
        </w:rPr>
        <w:t>5. ESTADO DEL ARTE</w:t>
      </w:r>
    </w:p>
    <w:p w14:paraId="42244275" w14:textId="77777777" w:rsidR="00390B0E" w:rsidRDefault="00000000">
      <w:pPr>
        <w:spacing w:after="120" w:line="360" w:lineRule="auto"/>
        <w:jc w:val="both"/>
      </w:pPr>
      <w:r>
        <w:rPr>
          <w:b/>
          <w:bCs/>
          <w:sz w:val="24"/>
          <w:szCs w:val="24"/>
        </w:rPr>
        <w:t>Cumple con los estándares académicos. Tratamiento autocrítico y bien delimitado.</w:t>
      </w:r>
    </w:p>
    <w:p w14:paraId="041656E1" w14:textId="77777777" w:rsidR="00390B0E" w:rsidRDefault="00000000">
      <w:pPr>
        <w:spacing w:after="120" w:line="360" w:lineRule="auto"/>
        <w:ind w:firstLine="720"/>
        <w:jc w:val="both"/>
      </w:pPr>
      <w:r>
        <w:rPr>
          <w:sz w:val="24"/>
          <w:szCs w:val="24"/>
        </w:rPr>
        <w:t xml:space="preserve">El estado del arte (Sección 2.5) revisa seis antecedentes distribuidos en tres ejes temáticos: </w:t>
      </w:r>
      <w:proofErr w:type="spellStart"/>
      <w:r>
        <w:rPr>
          <w:sz w:val="24"/>
          <w:szCs w:val="24"/>
        </w:rPr>
        <w:t>chatbots</w:t>
      </w:r>
      <w:proofErr w:type="spellEnd"/>
      <w:r>
        <w:rPr>
          <w:sz w:val="24"/>
          <w:szCs w:val="24"/>
        </w:rPr>
        <w:t xml:space="preserve"> en atención al cliente (</w:t>
      </w:r>
      <w:proofErr w:type="spellStart"/>
      <w:r>
        <w:rPr>
          <w:sz w:val="24"/>
          <w:szCs w:val="24"/>
        </w:rPr>
        <w:t>Ngai</w:t>
      </w:r>
      <w:proofErr w:type="spellEnd"/>
      <w:r>
        <w:rPr>
          <w:sz w:val="24"/>
          <w:szCs w:val="24"/>
        </w:rPr>
        <w:t xml:space="preserve"> et al., 2021; </w:t>
      </w:r>
      <w:proofErr w:type="spellStart"/>
      <w:r>
        <w:rPr>
          <w:sz w:val="24"/>
          <w:szCs w:val="24"/>
        </w:rPr>
        <w:t>Misischia</w:t>
      </w:r>
      <w:proofErr w:type="spellEnd"/>
      <w:r>
        <w:rPr>
          <w:sz w:val="24"/>
          <w:szCs w:val="24"/>
        </w:rPr>
        <w:t xml:space="preserve"> et al., 2022), clasificación de intenciones con modelos de lenguaje (</w:t>
      </w:r>
      <w:proofErr w:type="spellStart"/>
      <w:r>
        <w:rPr>
          <w:sz w:val="24"/>
          <w:szCs w:val="24"/>
        </w:rPr>
        <w:t>Parikh</w:t>
      </w:r>
      <w:proofErr w:type="spellEnd"/>
      <w:r>
        <w:rPr>
          <w:sz w:val="24"/>
          <w:szCs w:val="24"/>
        </w:rPr>
        <w:t xml:space="preserve"> et al., 2023; </w:t>
      </w:r>
      <w:proofErr w:type="spellStart"/>
      <w:r>
        <w:rPr>
          <w:sz w:val="24"/>
          <w:szCs w:val="24"/>
        </w:rPr>
        <w:t>Luo</w:t>
      </w:r>
      <w:proofErr w:type="spellEnd"/>
      <w:r>
        <w:rPr>
          <w:sz w:val="24"/>
          <w:szCs w:val="24"/>
        </w:rPr>
        <w:t xml:space="preserve"> et al., 2023) y automatización de procesos en </w:t>
      </w:r>
      <w:proofErr w:type="spellStart"/>
      <w:r>
        <w:rPr>
          <w:sz w:val="24"/>
          <w:szCs w:val="24"/>
        </w:rPr>
        <w:t>PyMEs</w:t>
      </w:r>
      <w:proofErr w:type="spellEnd"/>
      <w:r>
        <w:rPr>
          <w:sz w:val="24"/>
          <w:szCs w:val="24"/>
        </w:rPr>
        <w:t xml:space="preserve"> (</w:t>
      </w:r>
      <w:proofErr w:type="spellStart"/>
      <w:r>
        <w:rPr>
          <w:sz w:val="24"/>
          <w:szCs w:val="24"/>
        </w:rPr>
        <w:t>Pypłacz</w:t>
      </w:r>
      <w:proofErr w:type="spellEnd"/>
      <w:r>
        <w:rPr>
          <w:sz w:val="24"/>
          <w:szCs w:val="24"/>
        </w:rPr>
        <w:t xml:space="preserve"> y </w:t>
      </w:r>
      <w:proofErr w:type="spellStart"/>
      <w:r>
        <w:rPr>
          <w:sz w:val="24"/>
          <w:szCs w:val="24"/>
        </w:rPr>
        <w:t>Žukovskis</w:t>
      </w:r>
      <w:proofErr w:type="spellEnd"/>
      <w:r>
        <w:rPr>
          <w:sz w:val="24"/>
          <w:szCs w:val="24"/>
        </w:rPr>
        <w:t xml:space="preserve">, 2023; Zhang et al., 2021). Los </w:t>
      </w:r>
      <w:r>
        <w:rPr>
          <w:sz w:val="24"/>
          <w:szCs w:val="24"/>
        </w:rPr>
        <w:lastRenderedPageBreak/>
        <w:t>trabajos seleccionados son pertinentes y están correctamente citados con sus datos bibliográficos completos.</w:t>
      </w:r>
    </w:p>
    <w:p w14:paraId="680F9714" w14:textId="77777777" w:rsidR="00390B0E" w:rsidRDefault="00000000">
      <w:pPr>
        <w:spacing w:after="120" w:line="360" w:lineRule="auto"/>
        <w:ind w:firstLine="720"/>
        <w:jc w:val="both"/>
      </w:pPr>
      <w:r>
        <w:rPr>
          <w:b/>
          <w:bCs/>
          <w:sz w:val="24"/>
          <w:szCs w:val="24"/>
        </w:rPr>
        <w:t xml:space="preserve">Fortaleza notable: </w:t>
      </w:r>
      <w:r>
        <w:rPr>
          <w:sz w:val="24"/>
          <w:szCs w:val="24"/>
        </w:rPr>
        <w:t>Los autores declaran explícitamente el procedimiento de búsqueda (bases consultadas, cadenas de búsqueda, ventana temporal, criterios de inclusión y exclusión), lo que hace trazable la revisión. Además, declaran con igual claridad lo que la revisión no es: "no constituye una revisión sistemática en el sentido de un protocolo formal de cribado con doble evaluador: es una revisión de antecedentes acotada, proporcionada al nivel de un trabajo integrador de tecnicatura". Esta declaración es exactamente lo que un evaluador espera encontrar: la identificación honesta del alcance del propio esfuerzo.</w:t>
      </w:r>
    </w:p>
    <w:p w14:paraId="3923D3F3" w14:textId="77777777" w:rsidR="00390B0E" w:rsidRDefault="00000000">
      <w:pPr>
        <w:spacing w:after="120" w:line="360" w:lineRule="auto"/>
        <w:ind w:firstLine="720"/>
        <w:jc w:val="both"/>
      </w:pPr>
      <w:r>
        <w:rPr>
          <w:sz w:val="24"/>
          <w:szCs w:val="24"/>
        </w:rPr>
        <w:t>La Tabla 2.1, que posiciona este trabajo frente a los antecedentes revisados, es un recurso comparativo eficaz y poco frecuente en trabajos de este nivel. Permite al lector identificar de un vistazo el vacío que el trabajo se propone cubrir y la modestia de su contribución.</w:t>
      </w:r>
    </w:p>
    <w:p w14:paraId="2E86EA85" w14:textId="77777777" w:rsidR="00390B0E" w:rsidRDefault="00000000">
      <w:pPr>
        <w:spacing w:after="120" w:line="360" w:lineRule="auto"/>
        <w:ind w:firstLine="720"/>
        <w:jc w:val="both"/>
      </w:pPr>
      <w:r>
        <w:rPr>
          <w:b/>
          <w:bCs/>
          <w:sz w:val="24"/>
          <w:szCs w:val="24"/>
        </w:rPr>
        <w:t xml:space="preserve">Observación: </w:t>
      </w:r>
      <w:r>
        <w:rPr>
          <w:sz w:val="24"/>
          <w:szCs w:val="24"/>
        </w:rPr>
        <w:t>La revisión es funcional y honesta, pero acotada a seis fuentes. Para el nivel de tecnicatura esto es aceptable; sin embargo, se echa en falta alguna referencia directa a trabajos que hayan utilizado n8n como herramienta de orquestación en contextos de investigación aplicada, lo que habría reforzado la justificación de la elección tecnológica. Si tales trabajos no existen en la literatura revisada, conviene declarar esa ausencia como parte del vacío identificado.</w:t>
      </w:r>
    </w:p>
    <w:p w14:paraId="08DFB09C" w14:textId="77777777" w:rsidR="00390B0E" w:rsidRDefault="00000000">
      <w:pPr>
        <w:pStyle w:val="Ttulo1"/>
        <w:spacing w:before="300" w:after="150"/>
      </w:pPr>
      <w:r>
        <w:rPr>
          <w:b/>
          <w:bCs/>
        </w:rPr>
        <w:t>6. MARCO TEÓRICO</w:t>
      </w:r>
    </w:p>
    <w:p w14:paraId="0886FE4F" w14:textId="77777777" w:rsidR="00390B0E" w:rsidRDefault="00000000">
      <w:pPr>
        <w:spacing w:after="120" w:line="360" w:lineRule="auto"/>
        <w:jc w:val="both"/>
      </w:pPr>
      <w:r>
        <w:rPr>
          <w:b/>
          <w:bCs/>
          <w:sz w:val="24"/>
          <w:szCs w:val="24"/>
        </w:rPr>
        <w:t>Cumple con los estándares académicos. Profundidad adecuada y bien articulado con el problema.</w:t>
      </w:r>
    </w:p>
    <w:p w14:paraId="3DD6C190" w14:textId="77777777" w:rsidR="00390B0E" w:rsidRDefault="00000000">
      <w:pPr>
        <w:spacing w:after="120" w:line="360" w:lineRule="auto"/>
        <w:ind w:firstLine="720"/>
        <w:jc w:val="both"/>
      </w:pPr>
      <w:r>
        <w:rPr>
          <w:sz w:val="24"/>
          <w:szCs w:val="24"/>
        </w:rPr>
        <w:t>El marco teórico (Capítulo 2) se organiza en seis secciones temáticas que cubren los fundamentos conceptuales del trabajo: automatización de procesos de negocio (BPA/BPM), inteligencia artificial conversacional y modelos de lenguaje, comunicación multicanal en e-</w:t>
      </w:r>
      <w:proofErr w:type="spellStart"/>
      <w:r>
        <w:rPr>
          <w:sz w:val="24"/>
          <w:szCs w:val="24"/>
        </w:rPr>
        <w:t>commerce</w:t>
      </w:r>
      <w:proofErr w:type="spellEnd"/>
      <w:r>
        <w:rPr>
          <w:sz w:val="24"/>
          <w:szCs w:val="24"/>
        </w:rPr>
        <w:t xml:space="preserve">, infraestructura tecnológica (Docker, PostgreSQL, </w:t>
      </w:r>
      <w:proofErr w:type="spellStart"/>
      <w:r>
        <w:rPr>
          <w:sz w:val="24"/>
          <w:szCs w:val="24"/>
        </w:rPr>
        <w:t>Grafana</w:t>
      </w:r>
      <w:proofErr w:type="spellEnd"/>
      <w:r>
        <w:rPr>
          <w:sz w:val="24"/>
          <w:szCs w:val="24"/>
        </w:rPr>
        <w:t>), estado del arte y tratamiento de datos personales. Cada sección establece conexión directa con algún componente del sistema implementado, lo que evita la inclusión de teoría ornamental.</w:t>
      </w:r>
    </w:p>
    <w:p w14:paraId="72CC993C" w14:textId="77777777" w:rsidR="00390B0E" w:rsidRDefault="00000000">
      <w:pPr>
        <w:spacing w:after="120" w:line="360" w:lineRule="auto"/>
        <w:ind w:firstLine="720"/>
        <w:jc w:val="both"/>
      </w:pPr>
      <w:r>
        <w:rPr>
          <w:b/>
          <w:bCs/>
          <w:sz w:val="24"/>
          <w:szCs w:val="24"/>
        </w:rPr>
        <w:t xml:space="preserve">Fortaleza destacable: </w:t>
      </w:r>
      <w:r>
        <w:rPr>
          <w:sz w:val="24"/>
          <w:szCs w:val="24"/>
        </w:rPr>
        <w:t>La discusión sobre la transferibilidad conceptual de MTTD y MTTR desde el dominio de gestión de incidentes TI (ITIL) al dominio del procesamiento de órdenes de e-</w:t>
      </w:r>
      <w:proofErr w:type="spellStart"/>
      <w:r>
        <w:rPr>
          <w:sz w:val="24"/>
          <w:szCs w:val="24"/>
        </w:rPr>
        <w:t>commerce</w:t>
      </w:r>
      <w:proofErr w:type="spellEnd"/>
      <w:r>
        <w:rPr>
          <w:sz w:val="24"/>
          <w:szCs w:val="24"/>
        </w:rPr>
        <w:t xml:space="preserve"> (Sección 2.1.3) exhibe un nivel de reflexión teórica que trasciende lo </w:t>
      </w:r>
      <w:r>
        <w:rPr>
          <w:sz w:val="24"/>
          <w:szCs w:val="24"/>
        </w:rPr>
        <w:lastRenderedPageBreak/>
        <w:t xml:space="preserve">esperable para el nivel. Los autores reconocen que una orden exitosa "no constituye una falla sino un flujo nominal del proceso de negocio", y argumentan que la transferencia se sostiene "a nivel estructural" y no semántico. Esta distinción, acompañada del reconocimiento de que métricas alternativas como </w:t>
      </w:r>
      <w:proofErr w:type="spellStart"/>
      <w:r>
        <w:rPr>
          <w:sz w:val="24"/>
          <w:szCs w:val="24"/>
        </w:rPr>
        <w:t>order</w:t>
      </w:r>
      <w:proofErr w:type="spellEnd"/>
      <w:r>
        <w:rPr>
          <w:sz w:val="24"/>
          <w:szCs w:val="24"/>
        </w:rPr>
        <w:t xml:space="preserve"> </w:t>
      </w:r>
      <w:proofErr w:type="spellStart"/>
      <w:r>
        <w:rPr>
          <w:sz w:val="24"/>
          <w:szCs w:val="24"/>
        </w:rPr>
        <w:t>cycle</w:t>
      </w:r>
      <w:proofErr w:type="spellEnd"/>
      <w:r>
        <w:rPr>
          <w:sz w:val="24"/>
          <w:szCs w:val="24"/>
        </w:rPr>
        <w:t xml:space="preserve"> time u </w:t>
      </w:r>
      <w:proofErr w:type="spellStart"/>
      <w:r>
        <w:rPr>
          <w:sz w:val="24"/>
          <w:szCs w:val="24"/>
        </w:rPr>
        <w:t>order</w:t>
      </w:r>
      <w:proofErr w:type="spellEnd"/>
      <w:r>
        <w:rPr>
          <w:sz w:val="24"/>
          <w:szCs w:val="24"/>
        </w:rPr>
        <w:t xml:space="preserve"> </w:t>
      </w:r>
      <w:proofErr w:type="spellStart"/>
      <w:r>
        <w:rPr>
          <w:sz w:val="24"/>
          <w:szCs w:val="24"/>
        </w:rPr>
        <w:t>fulfillment</w:t>
      </w:r>
      <w:proofErr w:type="spellEnd"/>
      <w:r>
        <w:rPr>
          <w:sz w:val="24"/>
          <w:szCs w:val="24"/>
        </w:rPr>
        <w:t xml:space="preserve"> lead time podrían ser más específicas del dominio, demuestra comprensión genuina de los conceptos y no mera transposición mecánica.</w:t>
      </w:r>
    </w:p>
    <w:p w14:paraId="2E1F9087" w14:textId="77777777" w:rsidR="00390B0E" w:rsidRDefault="00000000">
      <w:pPr>
        <w:spacing w:after="120" w:line="360" w:lineRule="auto"/>
        <w:ind w:firstLine="720"/>
        <w:jc w:val="both"/>
      </w:pPr>
      <w:proofErr w:type="gramStart"/>
      <w:r>
        <w:rPr>
          <w:sz w:val="24"/>
          <w:szCs w:val="24"/>
        </w:rPr>
        <w:t>Igualmente</w:t>
      </w:r>
      <w:proofErr w:type="gramEnd"/>
      <w:r>
        <w:rPr>
          <w:sz w:val="24"/>
          <w:szCs w:val="24"/>
        </w:rPr>
        <w:t xml:space="preserve"> meritoria es la Sección 2.6, dedicada al tratamiento de datos personales y el marco legal aplicable (Ley 25.326). Para un trabajo de tecnicatura en programación, incorporar una sección que analice cinco artículos de la normativa de protección de datos y que identifique la contradicción entre el criterio de soberanía de datos invocado para n8n y la dependencia de la API de </w:t>
      </w:r>
      <w:proofErr w:type="spellStart"/>
      <w:r>
        <w:rPr>
          <w:sz w:val="24"/>
          <w:szCs w:val="24"/>
        </w:rPr>
        <w:t>OpenAI</w:t>
      </w:r>
      <w:proofErr w:type="spellEnd"/>
      <w:r>
        <w:rPr>
          <w:sz w:val="24"/>
          <w:szCs w:val="24"/>
        </w:rPr>
        <w:t xml:space="preserve"> constituye un ejercicio de reflexión profesional que va más allá de lo técnico.</w:t>
      </w:r>
    </w:p>
    <w:p w14:paraId="0BF85D18" w14:textId="77777777" w:rsidR="00390B0E" w:rsidRDefault="00000000">
      <w:pPr>
        <w:spacing w:after="120" w:line="360" w:lineRule="auto"/>
        <w:ind w:firstLine="720"/>
        <w:jc w:val="both"/>
      </w:pPr>
      <w:r>
        <w:rPr>
          <w:sz w:val="24"/>
          <w:szCs w:val="24"/>
        </w:rPr>
        <w:t xml:space="preserve">La distinción conceptual entre multicanalidad y omnicanalidad (Sección 2.3.1) es precisa y operativa: los autores no solo definen ambos </w:t>
      </w:r>
      <w:proofErr w:type="gramStart"/>
      <w:r>
        <w:rPr>
          <w:sz w:val="24"/>
          <w:szCs w:val="24"/>
        </w:rPr>
        <w:t>conceptos</w:t>
      </w:r>
      <w:proofErr w:type="gramEnd"/>
      <w:r>
        <w:rPr>
          <w:sz w:val="24"/>
          <w:szCs w:val="24"/>
        </w:rPr>
        <w:t xml:space="preserve"> sino que declaran explícitamente que "el sistema desarrollado es multicanal" y no </w:t>
      </w:r>
      <w:proofErr w:type="spellStart"/>
      <w:r>
        <w:rPr>
          <w:sz w:val="24"/>
          <w:szCs w:val="24"/>
        </w:rPr>
        <w:t>omnicanal</w:t>
      </w:r>
      <w:proofErr w:type="spellEnd"/>
      <w:r>
        <w:rPr>
          <w:sz w:val="24"/>
          <w:szCs w:val="24"/>
        </w:rPr>
        <w:t>, precisando qué le falta para serlo (identidad unificada de cliente y memoria conversacional entre canales). Esta honestidad terminológica previene una lectura inflada del alcance.</w:t>
      </w:r>
    </w:p>
    <w:p w14:paraId="52181139" w14:textId="77777777" w:rsidR="00390B0E" w:rsidRDefault="00000000">
      <w:pPr>
        <w:spacing w:after="120" w:line="360" w:lineRule="auto"/>
        <w:ind w:firstLine="720"/>
        <w:jc w:val="both"/>
      </w:pPr>
      <w:r>
        <w:rPr>
          <w:b/>
          <w:bCs/>
          <w:sz w:val="24"/>
          <w:szCs w:val="24"/>
        </w:rPr>
        <w:t xml:space="preserve">Observación menor: </w:t>
      </w:r>
      <w:r>
        <w:rPr>
          <w:sz w:val="24"/>
          <w:szCs w:val="24"/>
        </w:rPr>
        <w:t>La referencia a HubSpot (2024) como fuente del dato de que "el 82% de los clientes espera una resolución inmediata" se utiliza en dos secciones distintas (1.2 y 2.3.2). Si bien el dato es pertinente, tratándose de un reporte de industria (</w:t>
      </w:r>
      <w:proofErr w:type="spellStart"/>
      <w:r>
        <w:rPr>
          <w:sz w:val="24"/>
          <w:szCs w:val="24"/>
        </w:rPr>
        <w:t>State</w:t>
      </w:r>
      <w:proofErr w:type="spellEnd"/>
      <w:r>
        <w:rPr>
          <w:sz w:val="24"/>
          <w:szCs w:val="24"/>
        </w:rPr>
        <w:t xml:space="preserve"> </w:t>
      </w:r>
      <w:proofErr w:type="spellStart"/>
      <w:r>
        <w:rPr>
          <w:sz w:val="24"/>
          <w:szCs w:val="24"/>
        </w:rPr>
        <w:t>of</w:t>
      </w:r>
      <w:proofErr w:type="spellEnd"/>
      <w:r>
        <w:rPr>
          <w:sz w:val="24"/>
          <w:szCs w:val="24"/>
        </w:rPr>
        <w:t xml:space="preserve"> </w:t>
      </w:r>
      <w:proofErr w:type="spellStart"/>
      <w:r>
        <w:rPr>
          <w:sz w:val="24"/>
          <w:szCs w:val="24"/>
        </w:rPr>
        <w:t>Service</w:t>
      </w:r>
      <w:proofErr w:type="spellEnd"/>
      <w:r>
        <w:rPr>
          <w:sz w:val="24"/>
          <w:szCs w:val="24"/>
        </w:rPr>
        <w:t>) y no de una publicación académica revisada por pares, su peso argumentativo debería matizarse explicitando su naturaleza de encuesta comercial. No invalida su uso, pero una nota al respecto habría sido apropiada.</w:t>
      </w:r>
    </w:p>
    <w:p w14:paraId="005997B2" w14:textId="77777777" w:rsidR="00390B0E" w:rsidRDefault="00000000">
      <w:pPr>
        <w:pStyle w:val="Ttulo1"/>
        <w:spacing w:before="300" w:after="150"/>
      </w:pPr>
      <w:r>
        <w:rPr>
          <w:b/>
          <w:bCs/>
        </w:rPr>
        <w:t>7. DESARROLLO METODOLÓGICO</w:t>
      </w:r>
    </w:p>
    <w:p w14:paraId="081D2EEE" w14:textId="77777777" w:rsidR="00390B0E" w:rsidRDefault="00000000">
      <w:pPr>
        <w:spacing w:after="120" w:line="360" w:lineRule="auto"/>
        <w:jc w:val="both"/>
      </w:pPr>
      <w:r>
        <w:rPr>
          <w:b/>
          <w:bCs/>
          <w:sz w:val="24"/>
          <w:szCs w:val="24"/>
        </w:rPr>
        <w:t>Cumple con los estándares académicos. Es el aspecto más sólido del trabajo.</w:t>
      </w:r>
    </w:p>
    <w:p w14:paraId="629E1AD4" w14:textId="77777777" w:rsidR="00390B0E" w:rsidRDefault="00000000">
      <w:pPr>
        <w:spacing w:after="120" w:line="360" w:lineRule="auto"/>
        <w:ind w:firstLine="720"/>
        <w:jc w:val="both"/>
      </w:pPr>
      <w:r>
        <w:rPr>
          <w:sz w:val="24"/>
          <w:szCs w:val="24"/>
        </w:rPr>
        <w:t>El marco metodológico (Capítulo 3) es, a juicio de este evaluador, el componente más destacado del trabajo. La investigación se clasifica correctamente como aplicada y tecnológica, y se enmarca dentro de la metodología de estudio de caso instrumental según Yin (2018). El desarrollo se organiza en seis etapas secuenciales con entregables concretos, y las técnicas de recolección y análisis de datos están operacionalizadas con rigor.</w:t>
      </w:r>
    </w:p>
    <w:p w14:paraId="66783256" w14:textId="77777777" w:rsidR="00390B0E" w:rsidRDefault="00000000">
      <w:pPr>
        <w:spacing w:after="120" w:line="360" w:lineRule="auto"/>
        <w:jc w:val="both"/>
      </w:pPr>
      <w:r>
        <w:rPr>
          <w:b/>
          <w:bCs/>
          <w:sz w:val="24"/>
          <w:szCs w:val="24"/>
        </w:rPr>
        <w:t>Fortalezas excepcionales:</w:t>
      </w:r>
    </w:p>
    <w:p w14:paraId="2C2FFD69" w14:textId="77777777" w:rsidR="00390B0E" w:rsidRDefault="00000000">
      <w:pPr>
        <w:spacing w:after="120" w:line="360" w:lineRule="auto"/>
        <w:ind w:firstLine="720"/>
        <w:jc w:val="both"/>
      </w:pPr>
      <w:r>
        <w:rPr>
          <w:sz w:val="24"/>
          <w:szCs w:val="24"/>
        </w:rPr>
        <w:lastRenderedPageBreak/>
        <w:t xml:space="preserve">Primero, el protocolo de medición del </w:t>
      </w:r>
      <w:proofErr w:type="spellStart"/>
      <w:r>
        <w:rPr>
          <w:sz w:val="24"/>
          <w:szCs w:val="24"/>
        </w:rPr>
        <w:t>baseline</w:t>
      </w:r>
      <w:proofErr w:type="spellEnd"/>
      <w:r>
        <w:rPr>
          <w:sz w:val="24"/>
          <w:szCs w:val="24"/>
        </w:rPr>
        <w:t xml:space="preserve"> manual (Sección 3.5.5) constituye un diseño experimental cuidadoso que trasciende ampliamente lo esperable para el nivel. Los autores no se limitaron a estimar informalmente cuánto tarda un operador; diseñaron un experimento con tres fases cronometradas por separado, reglas fijadas de antemano para descartes, validación cruzada contra un instrumento independiente (las marcas temporales de la base de datos), control del efecto de aprendizaje mediante correlación de Pearson, y cálculo del intervalo de confianza por la distribución t de </w:t>
      </w:r>
      <w:proofErr w:type="spellStart"/>
      <w:r>
        <w:rPr>
          <w:sz w:val="24"/>
          <w:szCs w:val="24"/>
        </w:rPr>
        <w:t>Student</w:t>
      </w:r>
      <w:proofErr w:type="spellEnd"/>
      <w:r>
        <w:rPr>
          <w:sz w:val="24"/>
          <w:szCs w:val="24"/>
        </w:rPr>
        <w:t xml:space="preserve"> con nueve grados de libertad. La decisión deliberada de resolver las ambigüedades de diseño eligiendo "el escenario que menos favorece a la hipótesis" (plantilla fija en lugar de redacción libre, exclusión de la latencia de detección) revela una orientación epistémica conservadora que es exactamente la que se espera de la investigación seria.</w:t>
      </w:r>
    </w:p>
    <w:p w14:paraId="48197BC3" w14:textId="77777777" w:rsidR="00390B0E" w:rsidRDefault="00000000">
      <w:pPr>
        <w:spacing w:after="120" w:line="360" w:lineRule="auto"/>
        <w:ind w:firstLine="720"/>
        <w:jc w:val="both"/>
      </w:pPr>
      <w:r>
        <w:rPr>
          <w:sz w:val="24"/>
          <w:szCs w:val="24"/>
        </w:rPr>
        <w:t>Segundo, el protocolo de etiquetado del corpus de clasificación (Sección 3.5.3) presenta cinco mecanismos de control que, considerados en conjunto, resultan notables: construcción y congelamiento del corpus con sello temporal anterior al etiquetado, etiquetado ciego por secuencia de versionado (no meramente declarado), descarte documentado de un primer intento inválido por transparencia metodológica, control de estabilidad test-</w:t>
      </w:r>
      <w:proofErr w:type="spellStart"/>
      <w:r>
        <w:rPr>
          <w:sz w:val="24"/>
          <w:szCs w:val="24"/>
        </w:rPr>
        <w:t>retest</w:t>
      </w:r>
      <w:proofErr w:type="spellEnd"/>
      <w:r>
        <w:rPr>
          <w:sz w:val="24"/>
          <w:szCs w:val="24"/>
        </w:rPr>
        <w:t xml:space="preserve"> sobre 50 mensajes, y acuerdo entre anotadores con un evaluador independiente cuantificado mediante el coeficiente κ de Cohen (0,919). Cada uno de estos controles, por separado, sería suficiente para un trabajo de tecnicatura; en conjunto, constituyen un aparato de validación propio de un trabajo de mayor jerarquía.</w:t>
      </w:r>
    </w:p>
    <w:p w14:paraId="14ADC0C8" w14:textId="77777777" w:rsidR="00390B0E" w:rsidRDefault="00000000">
      <w:pPr>
        <w:spacing w:after="120" w:line="360" w:lineRule="auto"/>
        <w:ind w:firstLine="720"/>
        <w:jc w:val="both"/>
      </w:pPr>
      <w:r>
        <w:rPr>
          <w:sz w:val="24"/>
          <w:szCs w:val="24"/>
        </w:rPr>
        <w:t xml:space="preserve">Tercero, la sección de amenazas a la validez (Sección 3.6), organizada según el marco de Yin (2018) en validez de constructo, interna, externa y confiabilidad, identifica amenazas reales y propone mitigaciones concretas. Los autores no caen en la práctica común de enumerar amenazas genéricas, sino que señalan riesgos específicos del diseño (latencias dependientes del hardware local, variabilidad de la API de </w:t>
      </w:r>
      <w:proofErr w:type="spellStart"/>
      <w:r>
        <w:rPr>
          <w:sz w:val="24"/>
          <w:szCs w:val="24"/>
        </w:rPr>
        <w:t>OpenAI</w:t>
      </w:r>
      <w:proofErr w:type="spellEnd"/>
      <w:r>
        <w:rPr>
          <w:sz w:val="24"/>
          <w:szCs w:val="24"/>
        </w:rPr>
        <w:t>).</w:t>
      </w:r>
    </w:p>
    <w:p w14:paraId="68C9836F" w14:textId="77777777" w:rsidR="00390B0E" w:rsidRDefault="00000000">
      <w:pPr>
        <w:spacing w:after="120" w:line="360" w:lineRule="auto"/>
        <w:ind w:firstLine="720"/>
        <w:jc w:val="both"/>
      </w:pPr>
      <w:r>
        <w:rPr>
          <w:b/>
          <w:bCs/>
          <w:sz w:val="24"/>
          <w:szCs w:val="24"/>
        </w:rPr>
        <w:t xml:space="preserve">Observación: </w:t>
      </w:r>
      <w:r>
        <w:rPr>
          <w:sz w:val="24"/>
          <w:szCs w:val="24"/>
        </w:rPr>
        <w:t>La justificación del tamaño de muestra del Flujo 2 (150 mensajes) se apoya correctamente en la fórmula de Cochran (1977) y en la precisión efectivamente alcanzada (intervalo de Wilson), pero la distribución entre categorías no es balanceada (48/42/35/25). Los autores declaran esta desproporción y la justifican como "proporcional a la frecuencia esperada de cada tipo de consulta en un e-</w:t>
      </w:r>
      <w:proofErr w:type="spellStart"/>
      <w:r>
        <w:rPr>
          <w:sz w:val="24"/>
          <w:szCs w:val="24"/>
        </w:rPr>
        <w:t>commerce</w:t>
      </w:r>
      <w:proofErr w:type="spellEnd"/>
      <w:r>
        <w:rPr>
          <w:sz w:val="24"/>
          <w:szCs w:val="24"/>
        </w:rPr>
        <w:t xml:space="preserve"> típico", pero no aportan evidencia de cuál sería esa frecuencia esperada. Si se trata de una estimación del equipo, conviene declararlo explícitamente como tal.</w:t>
      </w:r>
    </w:p>
    <w:p w14:paraId="15C41DCE" w14:textId="77777777" w:rsidR="00390B0E" w:rsidRDefault="00000000">
      <w:pPr>
        <w:pStyle w:val="Ttulo1"/>
        <w:spacing w:before="300" w:after="150"/>
      </w:pPr>
      <w:r>
        <w:rPr>
          <w:b/>
          <w:bCs/>
        </w:rPr>
        <w:lastRenderedPageBreak/>
        <w:t>8. CONCLUSIONES Y CONTRASTACIÓN DE HIPÓTESIS</w:t>
      </w:r>
    </w:p>
    <w:p w14:paraId="1FB83191" w14:textId="77777777" w:rsidR="00390B0E" w:rsidRDefault="00000000">
      <w:pPr>
        <w:spacing w:after="120" w:line="360" w:lineRule="auto"/>
        <w:jc w:val="both"/>
      </w:pPr>
      <w:r>
        <w:rPr>
          <w:b/>
          <w:bCs/>
          <w:sz w:val="24"/>
          <w:szCs w:val="24"/>
        </w:rPr>
        <w:t>Cumple con los estándares académicos.</w:t>
      </w:r>
    </w:p>
    <w:p w14:paraId="78525752" w14:textId="77777777" w:rsidR="00390B0E" w:rsidRDefault="00000000">
      <w:pPr>
        <w:spacing w:after="120" w:line="360" w:lineRule="auto"/>
        <w:ind w:firstLine="720"/>
        <w:jc w:val="both"/>
      </w:pPr>
      <w:r>
        <w:rPr>
          <w:sz w:val="24"/>
          <w:szCs w:val="24"/>
        </w:rPr>
        <w:t xml:space="preserve">Las conclusiones (Capítulo 6) responden directamente a la pregunta de investigación y verifican el cumplimiento de cada objetivo específico mediante la Tabla 6.1. Las tres hipótesis se contrastan formalmente en la Sección 5.3, con los resultados cuantitativos que las sustentan: H1 confirmada con un factor de 780× respecto del </w:t>
      </w:r>
      <w:proofErr w:type="spellStart"/>
      <w:r>
        <w:rPr>
          <w:sz w:val="24"/>
          <w:szCs w:val="24"/>
        </w:rPr>
        <w:t>baseline</w:t>
      </w:r>
      <w:proofErr w:type="spellEnd"/>
      <w:r>
        <w:rPr>
          <w:sz w:val="24"/>
          <w:szCs w:val="24"/>
        </w:rPr>
        <w:t xml:space="preserve"> manual, H2a confirmada con un TMR de 1,47 s (14,7% del umbral), y H2b confirmada con un </w:t>
      </w:r>
      <w:proofErr w:type="spellStart"/>
      <w:r>
        <w:rPr>
          <w:sz w:val="24"/>
          <w:szCs w:val="24"/>
        </w:rPr>
        <w:t>accuracy</w:t>
      </w:r>
      <w:proofErr w:type="spellEnd"/>
      <w:r>
        <w:rPr>
          <w:sz w:val="24"/>
          <w:szCs w:val="24"/>
        </w:rPr>
        <w:t xml:space="preserve"> de 92,7% y un intervalo de Wilson cuyo límite inferior (87,3%) supera el umbral del 85%.</w:t>
      </w:r>
    </w:p>
    <w:p w14:paraId="09ECE838" w14:textId="77777777" w:rsidR="00390B0E" w:rsidRDefault="00000000">
      <w:pPr>
        <w:spacing w:after="120" w:line="360" w:lineRule="auto"/>
        <w:ind w:firstLine="720"/>
        <w:jc w:val="both"/>
      </w:pPr>
      <w:r>
        <w:rPr>
          <w:b/>
          <w:bCs/>
          <w:sz w:val="24"/>
          <w:szCs w:val="24"/>
        </w:rPr>
        <w:t xml:space="preserve">Fortaleza: </w:t>
      </w:r>
      <w:r>
        <w:rPr>
          <w:sz w:val="24"/>
          <w:szCs w:val="24"/>
        </w:rPr>
        <w:t>La discusión de resultados (Sección 5.4) no se limita a celebrar la confirmación de las hipótesis, sino que acota el alcance de la comparación en tres puntos explícitos: ambos términos miden la misma magnitud (costo marginal), el factor debe leerse como una cota superior (entorno de laboratorio), y el alcance instrumentado no es idéntico entre el término automatizado y el manual. Esta disciplina argumentativa, que consiste en delimitar lo que los propios datos permiten afirmar y lo que no, es la marca de un trabajo intelectualmente honesto.</w:t>
      </w:r>
    </w:p>
    <w:p w14:paraId="60955088" w14:textId="77777777" w:rsidR="00390B0E" w:rsidRDefault="00000000">
      <w:pPr>
        <w:spacing w:after="120" w:line="360" w:lineRule="auto"/>
        <w:ind w:firstLine="720"/>
        <w:jc w:val="both"/>
      </w:pPr>
      <w:r>
        <w:rPr>
          <w:sz w:val="24"/>
          <w:szCs w:val="24"/>
        </w:rPr>
        <w:t xml:space="preserve">Resulta igualmente meritoria la declaración de las limitaciones observadas (Sección 5.4.1), donde los autores identifican cinco restricciones concretas: dependencia de servicios externos y limitaciones inherentes de los </w:t>
      </w:r>
      <w:proofErr w:type="spellStart"/>
      <w:r>
        <w:rPr>
          <w:sz w:val="24"/>
          <w:szCs w:val="24"/>
        </w:rPr>
        <w:t>LLMs</w:t>
      </w:r>
      <w:proofErr w:type="spellEnd"/>
      <w:r>
        <w:rPr>
          <w:sz w:val="24"/>
          <w:szCs w:val="24"/>
        </w:rPr>
        <w:t xml:space="preserve"> (alucinación, </w:t>
      </w:r>
      <w:proofErr w:type="spellStart"/>
      <w:r>
        <w:rPr>
          <w:sz w:val="24"/>
          <w:szCs w:val="24"/>
        </w:rPr>
        <w:t>prompt</w:t>
      </w:r>
      <w:proofErr w:type="spellEnd"/>
      <w:r>
        <w:rPr>
          <w:sz w:val="24"/>
          <w:szCs w:val="24"/>
        </w:rPr>
        <w:t xml:space="preserve"> </w:t>
      </w:r>
      <w:proofErr w:type="spellStart"/>
      <w:r>
        <w:rPr>
          <w:sz w:val="24"/>
          <w:szCs w:val="24"/>
        </w:rPr>
        <w:t>injection</w:t>
      </w:r>
      <w:proofErr w:type="spellEnd"/>
      <w:r>
        <w:rPr>
          <w:sz w:val="24"/>
          <w:szCs w:val="24"/>
        </w:rPr>
        <w:t>), asimetría en el desempeño por subcategoría, entorno de prueba local, tamaño del conjunto de prueba y ausencia de contraste inferencial contra un grupo de control. Esta última limitación —"el trabajo no ejecuta un contraste formal contra un grupo de control asignado al azar"— habría sido fácil de omitir; su inclusión explícita refuerza la credibilidad del trabajo.</w:t>
      </w:r>
    </w:p>
    <w:p w14:paraId="5B3F6758" w14:textId="77777777" w:rsidR="00390B0E" w:rsidRDefault="00000000">
      <w:pPr>
        <w:spacing w:after="120" w:line="360" w:lineRule="auto"/>
        <w:ind w:firstLine="720"/>
        <w:jc w:val="both"/>
      </w:pPr>
      <w:r>
        <w:rPr>
          <w:b/>
          <w:bCs/>
          <w:sz w:val="24"/>
          <w:szCs w:val="24"/>
        </w:rPr>
        <w:t xml:space="preserve">Observación menor: </w:t>
      </w:r>
      <w:r>
        <w:rPr>
          <w:sz w:val="24"/>
          <w:szCs w:val="24"/>
        </w:rPr>
        <w:t xml:space="preserve">Las conclusiones sustantivas (Sección 6.3) incluyen la afirmación de que la arquitectura Docker </w:t>
      </w:r>
      <w:proofErr w:type="spellStart"/>
      <w:r>
        <w:rPr>
          <w:sz w:val="24"/>
          <w:szCs w:val="24"/>
        </w:rPr>
        <w:t>Compose</w:t>
      </w:r>
      <w:proofErr w:type="spellEnd"/>
      <w:r>
        <w:rPr>
          <w:sz w:val="24"/>
          <w:szCs w:val="24"/>
        </w:rPr>
        <w:t xml:space="preserve"> "demostró ser reproducible en lo esencial", pero inmediatamente aclaran que "no se realizó un ensayo de reproducción con un evaluador externo". Si bien la aclaración es correcta y honesta, la afirmación de reproducibilidad sin ensayo de reproducción debería reformularse en términos más cautelosos, por ejemplo: "la infraestructura está diseñada para ser reproducible" en lugar de "demostró ser reproducible".</w:t>
      </w:r>
    </w:p>
    <w:p w14:paraId="2A6C7110" w14:textId="77777777" w:rsidR="00390B0E" w:rsidRDefault="00000000">
      <w:pPr>
        <w:pStyle w:val="Ttulo1"/>
        <w:spacing w:before="300" w:after="150"/>
      </w:pPr>
      <w:r>
        <w:rPr>
          <w:b/>
          <w:bCs/>
        </w:rPr>
        <w:t>9. PROPUESTAS DE TRABAJOS FUTUROS</w:t>
      </w:r>
    </w:p>
    <w:p w14:paraId="1D3A4157" w14:textId="77777777" w:rsidR="00390B0E" w:rsidRDefault="00000000">
      <w:pPr>
        <w:spacing w:after="120" w:line="360" w:lineRule="auto"/>
        <w:jc w:val="both"/>
      </w:pPr>
      <w:r>
        <w:rPr>
          <w:b/>
          <w:bCs/>
          <w:sz w:val="24"/>
          <w:szCs w:val="24"/>
        </w:rPr>
        <w:t>Cumple con los estándares académicos.</w:t>
      </w:r>
    </w:p>
    <w:p w14:paraId="5EE967DE" w14:textId="77777777" w:rsidR="00390B0E" w:rsidRDefault="00000000">
      <w:pPr>
        <w:spacing w:after="120" w:line="360" w:lineRule="auto"/>
        <w:ind w:firstLine="720"/>
        <w:jc w:val="both"/>
      </w:pPr>
      <w:r>
        <w:rPr>
          <w:sz w:val="24"/>
          <w:szCs w:val="24"/>
        </w:rPr>
        <w:lastRenderedPageBreak/>
        <w:t xml:space="preserve">El Capítulo 7 presenta recomendaciones de producción y líneas futuras que son pertinentes y están fundamentadas en las limitaciones identificadas durante el propio trabajo. Las recomendaciones técnicas para producción (autenticación de </w:t>
      </w:r>
      <w:proofErr w:type="spellStart"/>
      <w:r>
        <w:rPr>
          <w:sz w:val="24"/>
          <w:szCs w:val="24"/>
        </w:rPr>
        <w:t>webhooks</w:t>
      </w:r>
      <w:proofErr w:type="spellEnd"/>
      <w:r>
        <w:rPr>
          <w:sz w:val="24"/>
          <w:szCs w:val="24"/>
        </w:rPr>
        <w:t xml:space="preserve">, </w:t>
      </w:r>
      <w:proofErr w:type="spellStart"/>
      <w:r>
        <w:rPr>
          <w:sz w:val="24"/>
          <w:szCs w:val="24"/>
        </w:rPr>
        <w:t>rate</w:t>
      </w:r>
      <w:proofErr w:type="spellEnd"/>
      <w:r>
        <w:rPr>
          <w:sz w:val="24"/>
          <w:szCs w:val="24"/>
        </w:rPr>
        <w:t xml:space="preserve"> </w:t>
      </w:r>
      <w:proofErr w:type="spellStart"/>
      <w:r>
        <w:rPr>
          <w:sz w:val="24"/>
          <w:szCs w:val="24"/>
        </w:rPr>
        <w:t>limiting</w:t>
      </w:r>
      <w:proofErr w:type="spellEnd"/>
      <w:r>
        <w:rPr>
          <w:sz w:val="24"/>
          <w:szCs w:val="24"/>
        </w:rPr>
        <w:t xml:space="preserve">, </w:t>
      </w:r>
      <w:proofErr w:type="spellStart"/>
      <w:r>
        <w:rPr>
          <w:sz w:val="24"/>
          <w:szCs w:val="24"/>
        </w:rPr>
        <w:t>circuit</w:t>
      </w:r>
      <w:proofErr w:type="spellEnd"/>
      <w:r>
        <w:rPr>
          <w:sz w:val="24"/>
          <w:szCs w:val="24"/>
        </w:rPr>
        <w:t xml:space="preserve"> </w:t>
      </w:r>
      <w:proofErr w:type="spellStart"/>
      <w:r>
        <w:rPr>
          <w:sz w:val="24"/>
          <w:szCs w:val="24"/>
        </w:rPr>
        <w:t>breakers</w:t>
      </w:r>
      <w:proofErr w:type="spellEnd"/>
      <w:r>
        <w:rPr>
          <w:sz w:val="24"/>
          <w:szCs w:val="24"/>
        </w:rPr>
        <w:t>, caché Redis, modelos de IA locales, control de admisión y encolado) demuestran conocimiento de las prácticas de ingeniería de software que un despliegue real requiere. Las líneas futuras de investigación (fine-</w:t>
      </w:r>
      <w:proofErr w:type="spellStart"/>
      <w:r>
        <w:rPr>
          <w:sz w:val="24"/>
          <w:szCs w:val="24"/>
        </w:rPr>
        <w:t>tuning</w:t>
      </w:r>
      <w:proofErr w:type="spellEnd"/>
      <w:r>
        <w:rPr>
          <w:sz w:val="24"/>
          <w:szCs w:val="24"/>
        </w:rPr>
        <w:t xml:space="preserve"> con datos reales, análisis de sentimiento, integración con ERP/CRM, implementación de la omnicanalidad, </w:t>
      </w:r>
      <w:proofErr w:type="spellStart"/>
      <w:r>
        <w:rPr>
          <w:sz w:val="24"/>
          <w:szCs w:val="24"/>
        </w:rPr>
        <w:t>baseline</w:t>
      </w:r>
      <w:proofErr w:type="spellEnd"/>
      <w:r>
        <w:rPr>
          <w:sz w:val="24"/>
          <w:szCs w:val="24"/>
        </w:rPr>
        <w:t xml:space="preserve"> manual con múltiples operadores, cumplimiento de la Ley 25.326) se derivan orgánicamente de las limitaciones del estudio y no son meras declaraciones de buena voluntad.</w:t>
      </w:r>
    </w:p>
    <w:p w14:paraId="3B429181" w14:textId="77777777" w:rsidR="00390B0E" w:rsidRDefault="00000000">
      <w:pPr>
        <w:spacing w:after="120" w:line="360" w:lineRule="auto"/>
        <w:ind w:firstLine="720"/>
        <w:jc w:val="both"/>
      </w:pPr>
      <w:r>
        <w:rPr>
          <w:b/>
          <w:bCs/>
          <w:sz w:val="24"/>
          <w:szCs w:val="24"/>
        </w:rPr>
        <w:t xml:space="preserve">Fortaleza: </w:t>
      </w:r>
      <w:r>
        <w:rPr>
          <w:sz w:val="24"/>
          <w:szCs w:val="24"/>
        </w:rPr>
        <w:t xml:space="preserve">La inclusión de </w:t>
      </w:r>
      <w:proofErr w:type="spellStart"/>
      <w:r>
        <w:rPr>
          <w:sz w:val="24"/>
          <w:szCs w:val="24"/>
        </w:rPr>
        <w:t>workflows</w:t>
      </w:r>
      <w:proofErr w:type="spellEnd"/>
      <w:r>
        <w:rPr>
          <w:sz w:val="24"/>
          <w:szCs w:val="24"/>
        </w:rPr>
        <w:t xml:space="preserve"> de producción ya diseñados (Flujo 1 y Flujo 2 PRODUCCIÓN), disponibles como archivos JSON importables en </w:t>
      </w:r>
      <w:proofErr w:type="gramStart"/>
      <w:r>
        <w:rPr>
          <w:sz w:val="24"/>
          <w:szCs w:val="24"/>
        </w:rPr>
        <w:t>n8n</w:t>
      </w:r>
      <w:proofErr w:type="gramEnd"/>
      <w:r>
        <w:rPr>
          <w:sz w:val="24"/>
          <w:szCs w:val="24"/>
        </w:rPr>
        <w:t xml:space="preserve"> pero declarados como no ejecutados con datos reales, constituye un valor agregado concreto. Los autores no se limitan a sugerir lo que se podría hacer; entregan el artefacto técnico que lo haría posible, lo cual aporta un camino tangible desde el prototipo hacia una implementación real.</w:t>
      </w:r>
    </w:p>
    <w:p w14:paraId="03D4E440" w14:textId="77777777" w:rsidR="00390B0E" w:rsidRDefault="00000000">
      <w:pPr>
        <w:spacing w:after="120" w:line="360" w:lineRule="auto"/>
        <w:ind w:firstLine="720"/>
        <w:jc w:val="both"/>
      </w:pPr>
      <w:r>
        <w:rPr>
          <w:sz w:val="24"/>
          <w:szCs w:val="24"/>
        </w:rPr>
        <w:t xml:space="preserve">También es destacable la recomendación de "incorporar ejemplos etiquetados al </w:t>
      </w:r>
      <w:proofErr w:type="spellStart"/>
      <w:r>
        <w:rPr>
          <w:sz w:val="24"/>
          <w:szCs w:val="24"/>
        </w:rPr>
        <w:t>prompt</w:t>
      </w:r>
      <w:proofErr w:type="spellEnd"/>
      <w:r>
        <w:rPr>
          <w:sz w:val="24"/>
          <w:szCs w:val="24"/>
        </w:rPr>
        <w:t xml:space="preserve"> y cablear el contexto de FAQ que el flujo ya construye, para cuantificar la mejora sobre el desempeño </w:t>
      </w:r>
      <w:proofErr w:type="spellStart"/>
      <w:r>
        <w:rPr>
          <w:sz w:val="24"/>
          <w:szCs w:val="24"/>
        </w:rPr>
        <w:t>zero-shot</w:t>
      </w:r>
      <w:proofErr w:type="spellEnd"/>
      <w:r>
        <w:rPr>
          <w:sz w:val="24"/>
          <w:szCs w:val="24"/>
        </w:rPr>
        <w:t xml:space="preserve">". Esta línea futura emerge de un hallazgo accidental declarado con transparencia: el nodo que recupera las FAQ existe en el </w:t>
      </w:r>
      <w:proofErr w:type="gramStart"/>
      <w:r>
        <w:rPr>
          <w:sz w:val="24"/>
          <w:szCs w:val="24"/>
        </w:rPr>
        <w:t>flujo</w:t>
      </w:r>
      <w:proofErr w:type="gramEnd"/>
      <w:r>
        <w:rPr>
          <w:sz w:val="24"/>
          <w:szCs w:val="24"/>
        </w:rPr>
        <w:t xml:space="preserve"> pero su salida no se referencia en el </w:t>
      </w:r>
      <w:proofErr w:type="spellStart"/>
      <w:r>
        <w:rPr>
          <w:sz w:val="24"/>
          <w:szCs w:val="24"/>
        </w:rPr>
        <w:t>prompt</w:t>
      </w:r>
      <w:proofErr w:type="spellEnd"/>
      <w:r>
        <w:rPr>
          <w:sz w:val="24"/>
          <w:szCs w:val="24"/>
        </w:rPr>
        <w:t xml:space="preserve"> del modelo, de modo que el </w:t>
      </w:r>
      <w:proofErr w:type="spellStart"/>
      <w:r>
        <w:rPr>
          <w:sz w:val="24"/>
          <w:szCs w:val="24"/>
        </w:rPr>
        <w:t>accuracy</w:t>
      </w:r>
      <w:proofErr w:type="spellEnd"/>
      <w:r>
        <w:rPr>
          <w:sz w:val="24"/>
          <w:szCs w:val="24"/>
        </w:rPr>
        <w:t xml:space="preserve"> del 92,7% se obtuvo sin ese contexto. En lugar de corregir silenciosamente el error e invalidar la medición, los autores lo declaran como limitación y lo proyectan como mejora futura, decisión metodológicamente correcta.</w:t>
      </w:r>
    </w:p>
    <w:p w14:paraId="19450B52" w14:textId="77777777" w:rsidR="00390B0E" w:rsidRDefault="00000000">
      <w:pPr>
        <w:pStyle w:val="Ttulo1"/>
        <w:spacing w:before="300" w:after="150"/>
      </w:pPr>
      <w:r>
        <w:rPr>
          <w:b/>
          <w:bCs/>
        </w:rPr>
        <w:t>10. BIBLIOGRAFÍA</w:t>
      </w:r>
    </w:p>
    <w:p w14:paraId="08D018BE" w14:textId="77777777" w:rsidR="00390B0E" w:rsidRDefault="00000000">
      <w:pPr>
        <w:spacing w:after="120" w:line="360" w:lineRule="auto"/>
        <w:jc w:val="both"/>
      </w:pPr>
      <w:r>
        <w:rPr>
          <w:b/>
          <w:bCs/>
          <w:sz w:val="24"/>
          <w:szCs w:val="24"/>
        </w:rPr>
        <w:t>Cumple con los estándares académicos.</w:t>
      </w:r>
    </w:p>
    <w:p w14:paraId="3251DD3B" w14:textId="77777777" w:rsidR="00390B0E" w:rsidRDefault="00000000">
      <w:pPr>
        <w:spacing w:after="120" w:line="360" w:lineRule="auto"/>
        <w:ind w:firstLine="720"/>
        <w:jc w:val="both"/>
      </w:pPr>
      <w:r>
        <w:rPr>
          <w:sz w:val="24"/>
          <w:szCs w:val="24"/>
        </w:rPr>
        <w:t xml:space="preserve">Las referencias bibliográficas (Capítulo 8) incluyen 27 fuentes. La lista comprende una combinación adecuada de obras canónicas (Hernández Sampieri et al., 2014; Yin, 2018; Cochran, 1977), publicaciones académicas con revisión de pares (Brown et al., 2020; </w:t>
      </w:r>
      <w:proofErr w:type="spellStart"/>
      <w:r>
        <w:rPr>
          <w:sz w:val="24"/>
          <w:szCs w:val="24"/>
        </w:rPr>
        <w:t>Parikh</w:t>
      </w:r>
      <w:proofErr w:type="spellEnd"/>
      <w:r>
        <w:rPr>
          <w:sz w:val="24"/>
          <w:szCs w:val="24"/>
        </w:rPr>
        <w:t xml:space="preserve"> et al., 2023; </w:t>
      </w:r>
      <w:proofErr w:type="spellStart"/>
      <w:r>
        <w:rPr>
          <w:sz w:val="24"/>
          <w:szCs w:val="24"/>
        </w:rPr>
        <w:t>Misischia</w:t>
      </w:r>
      <w:proofErr w:type="spellEnd"/>
      <w:r>
        <w:rPr>
          <w:sz w:val="24"/>
          <w:szCs w:val="24"/>
        </w:rPr>
        <w:t xml:space="preserve"> et al., 2022; </w:t>
      </w:r>
      <w:proofErr w:type="spellStart"/>
      <w:r>
        <w:rPr>
          <w:sz w:val="24"/>
          <w:szCs w:val="24"/>
        </w:rPr>
        <w:t>Boettiger</w:t>
      </w:r>
      <w:proofErr w:type="spellEnd"/>
      <w:r>
        <w:rPr>
          <w:sz w:val="24"/>
          <w:szCs w:val="24"/>
        </w:rPr>
        <w:t xml:space="preserve">, 2015), documentación técnica oficial (n8n, PostgreSQL, Docker, </w:t>
      </w:r>
      <w:proofErr w:type="spellStart"/>
      <w:r>
        <w:rPr>
          <w:sz w:val="24"/>
          <w:szCs w:val="24"/>
        </w:rPr>
        <w:t>Grafana</w:t>
      </w:r>
      <w:proofErr w:type="spellEnd"/>
      <w:r>
        <w:rPr>
          <w:sz w:val="24"/>
          <w:szCs w:val="24"/>
        </w:rPr>
        <w:t xml:space="preserve">, </w:t>
      </w:r>
      <w:proofErr w:type="spellStart"/>
      <w:r>
        <w:rPr>
          <w:sz w:val="24"/>
          <w:szCs w:val="24"/>
        </w:rPr>
        <w:t>OpenAI</w:t>
      </w:r>
      <w:proofErr w:type="spellEnd"/>
      <w:r>
        <w:rPr>
          <w:sz w:val="24"/>
          <w:szCs w:val="24"/>
        </w:rPr>
        <w:t xml:space="preserve">) y normativa legal (Ley 25.326). Todas las referencias citadas en el cuerpo del texto tienen su entrada correspondiente en la lista, y no se detectaron entradas huérfanas (referencias </w:t>
      </w:r>
      <w:proofErr w:type="gramStart"/>
      <w:r>
        <w:rPr>
          <w:sz w:val="24"/>
          <w:szCs w:val="24"/>
        </w:rPr>
        <w:t>listadas</w:t>
      </w:r>
      <w:proofErr w:type="gramEnd"/>
      <w:r>
        <w:rPr>
          <w:sz w:val="24"/>
          <w:szCs w:val="24"/>
        </w:rPr>
        <w:t xml:space="preserve"> pero no citadas). El formato de citación es consistente con el estilo APA, que es el convencional en las universidades argentinas.</w:t>
      </w:r>
    </w:p>
    <w:p w14:paraId="09A100B8" w14:textId="77777777" w:rsidR="00390B0E" w:rsidRDefault="00000000">
      <w:pPr>
        <w:spacing w:after="120" w:line="360" w:lineRule="auto"/>
        <w:ind w:firstLine="720"/>
        <w:jc w:val="both"/>
      </w:pPr>
      <w:r>
        <w:rPr>
          <w:b/>
          <w:bCs/>
          <w:sz w:val="24"/>
          <w:szCs w:val="24"/>
        </w:rPr>
        <w:lastRenderedPageBreak/>
        <w:t xml:space="preserve">Fortaleza: </w:t>
      </w:r>
      <w:r>
        <w:rPr>
          <w:sz w:val="24"/>
          <w:szCs w:val="24"/>
        </w:rPr>
        <w:t xml:space="preserve">La ventana temporal de las fuentes es actual (2014-2025), con la inclusión justificada de obras clásicas anteriores (Cochran, 1977; Zeithaml et al., 1990; </w:t>
      </w:r>
      <w:proofErr w:type="spellStart"/>
      <w:r>
        <w:rPr>
          <w:sz w:val="24"/>
          <w:szCs w:val="24"/>
        </w:rPr>
        <w:t>Womack</w:t>
      </w:r>
      <w:proofErr w:type="spellEnd"/>
      <w:r>
        <w:rPr>
          <w:sz w:val="24"/>
          <w:szCs w:val="24"/>
        </w:rPr>
        <w:t xml:space="preserve"> &amp; Jones, 2003). Las referencias de </w:t>
      </w:r>
      <w:proofErr w:type="spellStart"/>
      <w:r>
        <w:rPr>
          <w:sz w:val="24"/>
          <w:szCs w:val="24"/>
        </w:rPr>
        <w:t>preprint</w:t>
      </w:r>
      <w:proofErr w:type="spellEnd"/>
      <w:r>
        <w:rPr>
          <w:sz w:val="24"/>
          <w:szCs w:val="24"/>
        </w:rPr>
        <w:t xml:space="preserve"> (</w:t>
      </w:r>
      <w:proofErr w:type="spellStart"/>
      <w:r>
        <w:rPr>
          <w:sz w:val="24"/>
          <w:szCs w:val="24"/>
        </w:rPr>
        <w:t>arXiv</w:t>
      </w:r>
      <w:proofErr w:type="spellEnd"/>
      <w:r>
        <w:rPr>
          <w:sz w:val="24"/>
          <w:szCs w:val="24"/>
        </w:rPr>
        <w:t>) están correctamente identificadas como tales. Los DOI se incluyen donde corresponde.</w:t>
      </w:r>
    </w:p>
    <w:p w14:paraId="00A555FC" w14:textId="77777777" w:rsidR="00390B0E" w:rsidRDefault="00000000">
      <w:pPr>
        <w:spacing w:after="120" w:line="360" w:lineRule="auto"/>
        <w:ind w:firstLine="720"/>
        <w:jc w:val="both"/>
      </w:pPr>
      <w:r>
        <w:rPr>
          <w:b/>
          <w:bCs/>
          <w:sz w:val="24"/>
          <w:szCs w:val="24"/>
        </w:rPr>
        <w:t xml:space="preserve">Observación: </w:t>
      </w:r>
      <w:r>
        <w:rPr>
          <w:sz w:val="24"/>
          <w:szCs w:val="24"/>
        </w:rPr>
        <w:t xml:space="preserve">Algunas fuentes —en particular las de documentación técnica (n8n </w:t>
      </w:r>
      <w:proofErr w:type="spellStart"/>
      <w:r>
        <w:rPr>
          <w:sz w:val="24"/>
          <w:szCs w:val="24"/>
        </w:rPr>
        <w:t>GmbH</w:t>
      </w:r>
      <w:proofErr w:type="spellEnd"/>
      <w:r>
        <w:rPr>
          <w:sz w:val="24"/>
          <w:szCs w:val="24"/>
        </w:rPr>
        <w:t xml:space="preserve">, 2025; Docker Inc., 2025; </w:t>
      </w:r>
      <w:proofErr w:type="spellStart"/>
      <w:r>
        <w:rPr>
          <w:sz w:val="24"/>
          <w:szCs w:val="24"/>
        </w:rPr>
        <w:t>Grafana</w:t>
      </w:r>
      <w:proofErr w:type="spellEnd"/>
      <w:r>
        <w:rPr>
          <w:sz w:val="24"/>
          <w:szCs w:val="24"/>
        </w:rPr>
        <w:t xml:space="preserve"> </w:t>
      </w:r>
      <w:proofErr w:type="spellStart"/>
      <w:r>
        <w:rPr>
          <w:sz w:val="24"/>
          <w:szCs w:val="24"/>
        </w:rPr>
        <w:t>Labs</w:t>
      </w:r>
      <w:proofErr w:type="spellEnd"/>
      <w:r>
        <w:rPr>
          <w:sz w:val="24"/>
          <w:szCs w:val="24"/>
        </w:rPr>
        <w:t>, 2025)— son documentación de producto que por naturaleza no tiene proceso de revisión por pares. Esto es aceptable e incluso inevitable en un trabajo de investigación aplicada en tecnología, donde la documentación oficial es la fuente primaria para la descripción de las herramientas utilizadas. Sin embargo, se recomienda para trabajos futuros distinguir explícitamente, al menos en una nota, entre fuentes arbitradas y documentación técnica.</w:t>
      </w:r>
    </w:p>
    <w:p w14:paraId="61E04E6E" w14:textId="77777777" w:rsidR="00390B0E" w:rsidRDefault="00000000">
      <w:pPr>
        <w:spacing w:after="120" w:line="360" w:lineRule="auto"/>
        <w:ind w:firstLine="720"/>
        <w:jc w:val="both"/>
      </w:pPr>
      <w:r>
        <w:rPr>
          <w:sz w:val="24"/>
          <w:szCs w:val="24"/>
        </w:rPr>
        <w:t xml:space="preserve">La referencia a </w:t>
      </w:r>
      <w:proofErr w:type="spellStart"/>
      <w:r>
        <w:rPr>
          <w:sz w:val="24"/>
          <w:szCs w:val="24"/>
        </w:rPr>
        <w:t>Jurafsky</w:t>
      </w:r>
      <w:proofErr w:type="spellEnd"/>
      <w:r>
        <w:rPr>
          <w:sz w:val="24"/>
          <w:szCs w:val="24"/>
        </w:rPr>
        <w:t xml:space="preserve"> &amp; Martin (2024) corresponde a un borrador (draft) de la tercera edición del manual clásico de procesamiento de lenguaje natural, disponible en línea. Si bien es ampliamente utilizado en la comunidad académica, su carácter de borrador debería consignarse de forma más visible, ya que su contenido puede variar entre versiones.</w:t>
      </w:r>
    </w:p>
    <w:p w14:paraId="752DC067" w14:textId="77777777" w:rsidR="00390B0E" w:rsidRDefault="00000000">
      <w:pPr>
        <w:pStyle w:val="Ttulo1"/>
        <w:spacing w:before="300" w:after="150"/>
      </w:pPr>
      <w:r>
        <w:rPr>
          <w:b/>
          <w:bCs/>
        </w:rPr>
        <w:t>11. OBSERVACIONES ADICIONALES DE MÉRITO</w:t>
      </w:r>
    </w:p>
    <w:p w14:paraId="773B310A" w14:textId="77777777" w:rsidR="00390B0E" w:rsidRDefault="00000000">
      <w:pPr>
        <w:spacing w:after="120" w:line="360" w:lineRule="auto"/>
        <w:ind w:firstLine="720"/>
        <w:jc w:val="both"/>
      </w:pPr>
      <w:r>
        <w:rPr>
          <w:sz w:val="24"/>
          <w:szCs w:val="24"/>
        </w:rPr>
        <w:t>Más allá de las secciones evaluadas individualmente, corresponde señalar varios elementos transversales que elevan la calidad global del trabajo:</w:t>
      </w:r>
    </w:p>
    <w:p w14:paraId="34D55621" w14:textId="77777777" w:rsidR="00390B0E" w:rsidRDefault="00000000">
      <w:pPr>
        <w:spacing w:after="120" w:line="360" w:lineRule="auto"/>
        <w:ind w:firstLine="720"/>
        <w:jc w:val="both"/>
      </w:pPr>
      <w:r>
        <w:rPr>
          <w:sz w:val="24"/>
          <w:szCs w:val="24"/>
        </w:rPr>
        <w:t xml:space="preserve">El diseño de la prueba de concurrencia (E1.b) y la interpretación de sus resultados merecen reconocimiento especial. Los autores no solo verificaron que el sistema no produce sobreventa bajo carga simultánea (resultado favorable), sino que reportaron con igual énfasis que el 40,8% de las órdenes quedó sin procesar bajo concurrencia, interpretando correctamente que "el comportamiento observado es, en consecuencia, </w:t>
      </w:r>
      <w:proofErr w:type="gramStart"/>
      <w:r>
        <w:rPr>
          <w:sz w:val="24"/>
          <w:szCs w:val="24"/>
        </w:rPr>
        <w:t>seguro</w:t>
      </w:r>
      <w:proofErr w:type="gramEnd"/>
      <w:r>
        <w:rPr>
          <w:sz w:val="24"/>
          <w:szCs w:val="24"/>
        </w:rPr>
        <w:t xml:space="preserve"> pero no elástico". Este tipo de lectura bidireccional de los resultados —reportar tanto lo que funciona como lo que no— es un indicador de madurez investigativa.</w:t>
      </w:r>
    </w:p>
    <w:p w14:paraId="7755EF73" w14:textId="77777777" w:rsidR="00390B0E" w:rsidRDefault="00000000">
      <w:pPr>
        <w:spacing w:after="120" w:line="360" w:lineRule="auto"/>
        <w:ind w:firstLine="720"/>
        <w:jc w:val="both"/>
      </w:pPr>
      <w:r>
        <w:rPr>
          <w:sz w:val="24"/>
          <w:szCs w:val="24"/>
        </w:rPr>
        <w:t xml:space="preserve">La validación cruzada del </w:t>
      </w:r>
      <w:proofErr w:type="spellStart"/>
      <w:r>
        <w:rPr>
          <w:sz w:val="24"/>
          <w:szCs w:val="24"/>
        </w:rPr>
        <w:t>baseline</w:t>
      </w:r>
      <w:proofErr w:type="spellEnd"/>
      <w:r>
        <w:rPr>
          <w:sz w:val="24"/>
          <w:szCs w:val="24"/>
        </w:rPr>
        <w:t xml:space="preserve"> manual por dos instrumentos independientes —el cronómetro por fases y las marcas temporales de la base de datos— que coinciden dentro del 4% (49,13 s vs. 51,28 s) proporciona una medida de confiabilidad que refuerza la credibilidad de la comparación central.</w:t>
      </w:r>
    </w:p>
    <w:p w14:paraId="36D00936" w14:textId="77777777" w:rsidR="00390B0E" w:rsidRDefault="00000000">
      <w:pPr>
        <w:spacing w:after="120" w:line="360" w:lineRule="auto"/>
        <w:ind w:firstLine="720"/>
        <w:jc w:val="both"/>
      </w:pPr>
      <w:r>
        <w:rPr>
          <w:sz w:val="24"/>
          <w:szCs w:val="24"/>
        </w:rPr>
        <w:t xml:space="preserve">La inclusión de los datos crudos en los anexos (tiempos cronometrados por orden y por fase, registros de base de datos, script DDL completo, comandos de </w:t>
      </w:r>
      <w:proofErr w:type="spellStart"/>
      <w:r>
        <w:rPr>
          <w:sz w:val="24"/>
          <w:szCs w:val="24"/>
        </w:rPr>
        <w:t>testing</w:t>
      </w:r>
      <w:proofErr w:type="spellEnd"/>
      <w:r>
        <w:rPr>
          <w:sz w:val="24"/>
          <w:szCs w:val="24"/>
        </w:rPr>
        <w:t xml:space="preserve">, </w:t>
      </w:r>
      <w:proofErr w:type="spellStart"/>
      <w:r>
        <w:rPr>
          <w:sz w:val="24"/>
          <w:szCs w:val="24"/>
        </w:rPr>
        <w:t>prompt</w:t>
      </w:r>
      <w:proofErr w:type="spellEnd"/>
      <w:r>
        <w:rPr>
          <w:sz w:val="24"/>
          <w:szCs w:val="24"/>
        </w:rPr>
        <w:t xml:space="preserve"> íntegro del </w:t>
      </w:r>
      <w:r>
        <w:rPr>
          <w:sz w:val="24"/>
          <w:szCs w:val="24"/>
        </w:rPr>
        <w:lastRenderedPageBreak/>
        <w:t>clasificador, procedimiento de cálculo del intervalo de Wilson) hace que las afirmaciones del trabajo sean verificables, condición necesaria para la reproductibilidad.</w:t>
      </w:r>
    </w:p>
    <w:p w14:paraId="65FE2EF6" w14:textId="77777777" w:rsidR="00390B0E" w:rsidRDefault="00000000">
      <w:pPr>
        <w:pStyle w:val="Ttulo1"/>
        <w:spacing w:before="300" w:after="150"/>
      </w:pPr>
      <w:r>
        <w:rPr>
          <w:b/>
          <w:bCs/>
        </w:rPr>
        <w:t>12. RECOMENDACIONES CONCRETAS</w:t>
      </w:r>
    </w:p>
    <w:p w14:paraId="635C851B" w14:textId="77777777" w:rsidR="00390B0E" w:rsidRDefault="00000000">
      <w:pPr>
        <w:spacing w:after="120" w:line="360" w:lineRule="auto"/>
        <w:jc w:val="both"/>
      </w:pPr>
      <w:r>
        <w:rPr>
          <w:sz w:val="24"/>
          <w:szCs w:val="24"/>
        </w:rPr>
        <w:t>Se formulan las siguientes recomendaciones, ordenadas por prioridad, para la mejora del documento:</w:t>
      </w:r>
    </w:p>
    <w:p w14:paraId="6F6B52AB" w14:textId="77777777" w:rsidR="00390B0E" w:rsidRDefault="00000000">
      <w:pPr>
        <w:spacing w:after="120" w:line="360" w:lineRule="auto"/>
        <w:jc w:val="both"/>
      </w:pPr>
      <w:r>
        <w:rPr>
          <w:b/>
          <w:bCs/>
          <w:sz w:val="24"/>
          <w:szCs w:val="24"/>
        </w:rPr>
        <w:t xml:space="preserve">1. Corregir la entrada vacía del índice automático </w:t>
      </w:r>
      <w:r>
        <w:rPr>
          <w:sz w:val="24"/>
          <w:szCs w:val="24"/>
        </w:rPr>
        <w:t>(sección "[27](#section)") y uniformar la capitalización de los encabezados de capítulo. Esto es una corrección editorial menor que no afecta el contenido.</w:t>
      </w:r>
    </w:p>
    <w:p w14:paraId="034F5F9D" w14:textId="77777777" w:rsidR="00390B0E" w:rsidRDefault="00000000">
      <w:pPr>
        <w:spacing w:after="120" w:line="360" w:lineRule="auto"/>
        <w:jc w:val="both"/>
      </w:pPr>
      <w:r>
        <w:rPr>
          <w:b/>
          <w:bCs/>
          <w:sz w:val="24"/>
          <w:szCs w:val="24"/>
        </w:rPr>
        <w:t xml:space="preserve">2. Explicitar la fuente del supuesto de distribución de frecuencias entre categorías del </w:t>
      </w:r>
      <w:proofErr w:type="spellStart"/>
      <w:r>
        <w:rPr>
          <w:b/>
          <w:bCs/>
          <w:sz w:val="24"/>
          <w:szCs w:val="24"/>
        </w:rPr>
        <w:t>chatbot</w:t>
      </w:r>
      <w:proofErr w:type="spellEnd"/>
      <w:r>
        <w:rPr>
          <w:b/>
          <w:bCs/>
          <w:sz w:val="24"/>
          <w:szCs w:val="24"/>
        </w:rPr>
        <w:t xml:space="preserve">. </w:t>
      </w:r>
      <w:r>
        <w:rPr>
          <w:sz w:val="24"/>
          <w:szCs w:val="24"/>
        </w:rPr>
        <w:t>Si la distribución 48/42/35/25 responde a una estimación del equipo y no a datos observados de un e-</w:t>
      </w:r>
      <w:proofErr w:type="spellStart"/>
      <w:r>
        <w:rPr>
          <w:sz w:val="24"/>
          <w:szCs w:val="24"/>
        </w:rPr>
        <w:t>commerce</w:t>
      </w:r>
      <w:proofErr w:type="spellEnd"/>
      <w:r>
        <w:rPr>
          <w:sz w:val="24"/>
          <w:szCs w:val="24"/>
        </w:rPr>
        <w:t xml:space="preserve"> real, declararlo como tal.</w:t>
      </w:r>
    </w:p>
    <w:p w14:paraId="1713B652" w14:textId="77777777" w:rsidR="00390B0E" w:rsidRDefault="00000000">
      <w:pPr>
        <w:spacing w:after="120" w:line="360" w:lineRule="auto"/>
        <w:jc w:val="both"/>
      </w:pPr>
      <w:r>
        <w:rPr>
          <w:b/>
          <w:bCs/>
          <w:sz w:val="24"/>
          <w:szCs w:val="24"/>
        </w:rPr>
        <w:t xml:space="preserve">3. Matizar la afirmación de reproducibilidad de la arquitectura Docker </w:t>
      </w:r>
      <w:proofErr w:type="spellStart"/>
      <w:r>
        <w:rPr>
          <w:b/>
          <w:bCs/>
          <w:sz w:val="24"/>
          <w:szCs w:val="24"/>
        </w:rPr>
        <w:t>Compose</w:t>
      </w:r>
      <w:proofErr w:type="spellEnd"/>
      <w:r>
        <w:rPr>
          <w:b/>
          <w:bCs/>
          <w:sz w:val="24"/>
          <w:szCs w:val="24"/>
        </w:rPr>
        <w:t xml:space="preserve">. </w:t>
      </w:r>
      <w:r>
        <w:rPr>
          <w:sz w:val="24"/>
          <w:szCs w:val="24"/>
        </w:rPr>
        <w:t>Reformular "demostró ser reproducible" por "está diseñada para ser reproducible" mientras no se realice un ensayo con un evaluador externo.</w:t>
      </w:r>
    </w:p>
    <w:p w14:paraId="6A4628AD" w14:textId="77777777" w:rsidR="00390B0E" w:rsidRDefault="00000000">
      <w:pPr>
        <w:spacing w:after="120" w:line="360" w:lineRule="auto"/>
        <w:jc w:val="both"/>
      </w:pPr>
      <w:r>
        <w:rPr>
          <w:b/>
          <w:bCs/>
          <w:sz w:val="24"/>
          <w:szCs w:val="24"/>
        </w:rPr>
        <w:t xml:space="preserve">4. Anclar el umbral del 85% de </w:t>
      </w:r>
      <w:proofErr w:type="spellStart"/>
      <w:r>
        <w:rPr>
          <w:b/>
          <w:bCs/>
          <w:sz w:val="24"/>
          <w:szCs w:val="24"/>
        </w:rPr>
        <w:t>accuracy</w:t>
      </w:r>
      <w:proofErr w:type="spellEnd"/>
      <w:r>
        <w:rPr>
          <w:b/>
          <w:bCs/>
          <w:sz w:val="24"/>
          <w:szCs w:val="24"/>
        </w:rPr>
        <w:t xml:space="preserve"> en la literatura revisada. </w:t>
      </w:r>
      <w:r>
        <w:rPr>
          <w:sz w:val="24"/>
          <w:szCs w:val="24"/>
        </w:rPr>
        <w:t xml:space="preserve">Aunque la transparencia sobre su origen como criterio del equipo es suficiente, una referencia a los rangos reportados por </w:t>
      </w:r>
      <w:proofErr w:type="spellStart"/>
      <w:r>
        <w:rPr>
          <w:sz w:val="24"/>
          <w:szCs w:val="24"/>
        </w:rPr>
        <w:t>Parikh</w:t>
      </w:r>
      <w:proofErr w:type="spellEnd"/>
      <w:r>
        <w:rPr>
          <w:sz w:val="24"/>
          <w:szCs w:val="24"/>
        </w:rPr>
        <w:t xml:space="preserve"> et al. (2023) o </w:t>
      </w:r>
      <w:proofErr w:type="spellStart"/>
      <w:r>
        <w:rPr>
          <w:sz w:val="24"/>
          <w:szCs w:val="24"/>
        </w:rPr>
        <w:t>Luo</w:t>
      </w:r>
      <w:proofErr w:type="spellEnd"/>
      <w:r>
        <w:rPr>
          <w:sz w:val="24"/>
          <w:szCs w:val="24"/>
        </w:rPr>
        <w:t xml:space="preserve"> et al. (2023) fortalecería la justificación.</w:t>
      </w:r>
    </w:p>
    <w:p w14:paraId="2093713B" w14:textId="77777777" w:rsidR="00390B0E" w:rsidRDefault="00000000">
      <w:pPr>
        <w:spacing w:after="120" w:line="360" w:lineRule="auto"/>
        <w:jc w:val="both"/>
      </w:pPr>
      <w:r>
        <w:rPr>
          <w:b/>
          <w:bCs/>
          <w:sz w:val="24"/>
          <w:szCs w:val="24"/>
        </w:rPr>
        <w:t xml:space="preserve">5. Matizar la fuente HubSpot (2024) como reporte de industria, </w:t>
      </w:r>
      <w:r>
        <w:rPr>
          <w:sz w:val="24"/>
          <w:szCs w:val="24"/>
        </w:rPr>
        <w:t>distinguiéndola de las fuentes con revisión por pares.</w:t>
      </w:r>
    </w:p>
    <w:p w14:paraId="536BABFD" w14:textId="77777777" w:rsidR="00390B0E" w:rsidRDefault="00000000">
      <w:pPr>
        <w:spacing w:after="120" w:line="360" w:lineRule="auto"/>
        <w:jc w:val="both"/>
      </w:pPr>
      <w:r>
        <w:rPr>
          <w:b/>
          <w:bCs/>
          <w:sz w:val="24"/>
          <w:szCs w:val="24"/>
        </w:rPr>
        <w:t xml:space="preserve">6. Reformular OE2 para reflejar con mayor precisión lo efectivamente implementado, </w:t>
      </w:r>
      <w:r>
        <w:rPr>
          <w:sz w:val="24"/>
          <w:szCs w:val="24"/>
        </w:rPr>
        <w:t>reservando la extensión a tres canales como línea futura desde la formulación del objetivo.</w:t>
      </w:r>
    </w:p>
    <w:p w14:paraId="64B1F4A8" w14:textId="77777777" w:rsidR="00390B0E" w:rsidRDefault="00000000">
      <w:pPr>
        <w:pStyle w:val="Ttulo1"/>
        <w:spacing w:before="300" w:after="150"/>
      </w:pPr>
      <w:r>
        <w:rPr>
          <w:b/>
          <w:bCs/>
        </w:rPr>
        <w:t>13. CONCLUSIÓN DEL DICTAMEN</w:t>
      </w:r>
    </w:p>
    <w:p w14:paraId="1A03B284" w14:textId="77777777" w:rsidR="00390B0E" w:rsidRDefault="00000000">
      <w:pPr>
        <w:spacing w:after="120" w:line="360" w:lineRule="auto"/>
        <w:ind w:firstLine="720"/>
        <w:jc w:val="both"/>
      </w:pPr>
      <w:r>
        <w:rPr>
          <w:sz w:val="24"/>
          <w:szCs w:val="24"/>
        </w:rPr>
        <w:t>El presente trabajo integrador cumple con los requisitos académicos exigibles para la aprobación en el marco de la Tecnicatura Universitaria en Programación de la Universidad Tecnológica Nacional, Facultad Regional Mendoza. El nivel de rigor metodológico, la honestidad intelectual en el tratamiento de las limitaciones, la coherencia entre hipótesis, objetivos y resultados, y la calidad técnica del artefacto construido superan en varios aspectos el estándar esperable para el nivel de la carrera.</w:t>
      </w:r>
    </w:p>
    <w:p w14:paraId="1AE4317F" w14:textId="77777777" w:rsidR="00390B0E" w:rsidRDefault="00000000">
      <w:pPr>
        <w:spacing w:after="120" w:line="360" w:lineRule="auto"/>
        <w:ind w:firstLine="720"/>
        <w:jc w:val="both"/>
      </w:pPr>
      <w:r>
        <w:rPr>
          <w:sz w:val="24"/>
          <w:szCs w:val="24"/>
        </w:rPr>
        <w:lastRenderedPageBreak/>
        <w:t>Las observaciones formuladas son de carácter menor y no comprometen la validez de las conclusiones ni la calidad global del trabajo. Se recomienda su atención en una eventual versión revisada, pero no constituyen condición para la aprobación.</w:t>
      </w:r>
    </w:p>
    <w:p w14:paraId="3F4B89D0" w14:textId="77777777" w:rsidR="00390B0E" w:rsidRDefault="00000000">
      <w:pPr>
        <w:spacing w:after="120" w:line="360" w:lineRule="auto"/>
        <w:ind w:firstLine="720"/>
        <w:jc w:val="both"/>
      </w:pPr>
      <w:r>
        <w:rPr>
          <w:sz w:val="24"/>
          <w:szCs w:val="24"/>
        </w:rPr>
        <w:t>Se destaca especialmente la disposición de los autores a declarar las limitaciones de su propio trabajo, a elegir sistemáticamente las interpretaciones que menos favorecen a sus hipótesis, y a documentar sus procedimientos con el detalle suficiente para que un tercero pueda verificar cada afirmación. Estas prácticas —la autocrítica anticipada, la interpretación conservadora de los datos y la transparencia metodológica— no son comunes en trabajos de este nivel y constituyen, en sí mismas, un indicador de formación académica sólida.</w:t>
      </w:r>
    </w:p>
    <w:p w14:paraId="4FF2BEA3" w14:textId="77777777" w:rsidR="00390B0E" w:rsidRDefault="00000000">
      <w:pPr>
        <w:spacing w:after="120" w:line="360" w:lineRule="auto"/>
        <w:jc w:val="both"/>
      </w:pPr>
      <w:r>
        <w:rPr>
          <w:b/>
          <w:bCs/>
          <w:sz w:val="24"/>
          <w:szCs w:val="24"/>
        </w:rPr>
        <w:t>VEREDICTO FINAL: APROBADO CON OBSERVACIONES MENORES.</w:t>
      </w:r>
    </w:p>
    <w:p w14:paraId="2E885765" w14:textId="77777777" w:rsidR="00390B0E" w:rsidRDefault="00390B0E">
      <w:pPr>
        <w:spacing w:before="600"/>
      </w:pPr>
    </w:p>
    <w:p w14:paraId="3F8D91E9" w14:textId="77777777" w:rsidR="00390B0E" w:rsidRDefault="00390B0E">
      <w:pPr>
        <w:pBdr>
          <w:bottom w:val="single" w:sz="6" w:space="0" w:color="888888"/>
        </w:pBdr>
        <w:spacing w:before="100" w:after="100"/>
      </w:pPr>
    </w:p>
    <w:p w14:paraId="352377C7" w14:textId="77777777" w:rsidR="00390B0E" w:rsidRDefault="00000000">
      <w:pPr>
        <w:spacing w:before="200"/>
        <w:jc w:val="right"/>
      </w:pPr>
      <w:r>
        <w:rPr>
          <w:i/>
          <w:iCs/>
        </w:rPr>
        <w:t>Fin del dictamen evaluador</w:t>
      </w:r>
    </w:p>
    <w:sectPr w:rsidR="00390B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26A0F"/>
    <w:multiLevelType w:val="hybridMultilevel"/>
    <w:tmpl w:val="430688C0"/>
    <w:lvl w:ilvl="0" w:tplc="AE4E91A4">
      <w:start w:val="1"/>
      <w:numFmt w:val="bullet"/>
      <w:lvlText w:val="●"/>
      <w:lvlJc w:val="left"/>
      <w:pPr>
        <w:ind w:left="720" w:hanging="360"/>
      </w:pPr>
    </w:lvl>
    <w:lvl w:ilvl="1" w:tplc="C2B2A182">
      <w:start w:val="1"/>
      <w:numFmt w:val="bullet"/>
      <w:lvlText w:val="○"/>
      <w:lvlJc w:val="left"/>
      <w:pPr>
        <w:ind w:left="1440" w:hanging="360"/>
      </w:pPr>
    </w:lvl>
    <w:lvl w:ilvl="2" w:tplc="5ED0B6CA">
      <w:start w:val="1"/>
      <w:numFmt w:val="bullet"/>
      <w:lvlText w:val="■"/>
      <w:lvlJc w:val="left"/>
      <w:pPr>
        <w:ind w:left="2160" w:hanging="360"/>
      </w:pPr>
    </w:lvl>
    <w:lvl w:ilvl="3" w:tplc="FB5A34D6">
      <w:start w:val="1"/>
      <w:numFmt w:val="bullet"/>
      <w:lvlText w:val="●"/>
      <w:lvlJc w:val="left"/>
      <w:pPr>
        <w:ind w:left="2880" w:hanging="360"/>
      </w:pPr>
    </w:lvl>
    <w:lvl w:ilvl="4" w:tplc="88046292">
      <w:start w:val="1"/>
      <w:numFmt w:val="bullet"/>
      <w:lvlText w:val="○"/>
      <w:lvlJc w:val="left"/>
      <w:pPr>
        <w:ind w:left="3600" w:hanging="360"/>
      </w:pPr>
    </w:lvl>
    <w:lvl w:ilvl="5" w:tplc="F286C95A">
      <w:start w:val="1"/>
      <w:numFmt w:val="bullet"/>
      <w:lvlText w:val="■"/>
      <w:lvlJc w:val="left"/>
      <w:pPr>
        <w:ind w:left="4320" w:hanging="360"/>
      </w:pPr>
    </w:lvl>
    <w:lvl w:ilvl="6" w:tplc="379813F2">
      <w:start w:val="1"/>
      <w:numFmt w:val="bullet"/>
      <w:lvlText w:val="●"/>
      <w:lvlJc w:val="left"/>
      <w:pPr>
        <w:ind w:left="5040" w:hanging="360"/>
      </w:pPr>
    </w:lvl>
    <w:lvl w:ilvl="7" w:tplc="6D4A269A">
      <w:start w:val="1"/>
      <w:numFmt w:val="bullet"/>
      <w:lvlText w:val="●"/>
      <w:lvlJc w:val="left"/>
      <w:pPr>
        <w:ind w:left="5760" w:hanging="360"/>
      </w:pPr>
    </w:lvl>
    <w:lvl w:ilvl="8" w:tplc="347A9398">
      <w:start w:val="1"/>
      <w:numFmt w:val="bullet"/>
      <w:lvlText w:val="●"/>
      <w:lvlJc w:val="left"/>
      <w:pPr>
        <w:ind w:left="6480" w:hanging="360"/>
      </w:pPr>
    </w:lvl>
  </w:abstractNum>
  <w:num w:numId="1" w16cid:durableId="1119374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B0E"/>
    <w:rsid w:val="00390B0E"/>
    <w:rsid w:val="00796570"/>
    <w:rsid w:val="008C042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A40D"/>
  <w15:docId w15:val="{4172F3D5-92A8-4DF6-8F75-7CE4478EA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3969</Words>
  <Characters>21832</Characters>
  <Application>Microsoft Office Word</Application>
  <DocSecurity>0</DocSecurity>
  <Lines>181</Lines>
  <Paragraphs>51</Paragraphs>
  <ScaleCrop>false</ScaleCrop>
  <Company/>
  <LinksUpToDate>false</LinksUpToDate>
  <CharactersWithSpaces>25750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sordi</cp:lastModifiedBy>
  <cp:revision>2</cp:revision>
  <dcterms:created xsi:type="dcterms:W3CDTF">2026-08-27T23:15:00Z</dcterms:created>
  <dcterms:modified xsi:type="dcterms:W3CDTF">2026-08-27T23:15:00Z</dcterms:modified>
</cp:coreProperties>
</file>